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10D" w:rsidRPr="00FA4B4A" w:rsidRDefault="00A01EC0" w:rsidP="00CF57C8">
      <w:pPr>
        <w:pStyle w:val="TytuSST"/>
        <w:widowControl w:val="0"/>
        <w:suppressLineNumbers/>
        <w:suppressAutoHyphens/>
        <w:rPr>
          <w:sz w:val="18"/>
          <w:szCs w:val="18"/>
        </w:rPr>
      </w:pPr>
      <w:r w:rsidRPr="00FA4B4A">
        <w:rPr>
          <w:sz w:val="18"/>
          <w:szCs w:val="18"/>
        </w:rPr>
        <w:t>d.0</w:t>
      </w:r>
      <w:r w:rsidR="00004D1B" w:rsidRPr="00FA4B4A">
        <w:rPr>
          <w:sz w:val="18"/>
          <w:szCs w:val="18"/>
        </w:rPr>
        <w:t>4</w:t>
      </w:r>
      <w:r w:rsidR="0099110D" w:rsidRPr="00FA4B4A">
        <w:rPr>
          <w:sz w:val="18"/>
          <w:szCs w:val="18"/>
        </w:rPr>
        <w:t>.00.00</w:t>
      </w:r>
      <w:r w:rsidR="0099110D" w:rsidRPr="00FA4B4A">
        <w:rPr>
          <w:sz w:val="18"/>
          <w:szCs w:val="18"/>
        </w:rPr>
        <w:tab/>
      </w:r>
      <w:r w:rsidR="00004D1B" w:rsidRPr="00FA4B4A">
        <w:rPr>
          <w:sz w:val="18"/>
          <w:szCs w:val="18"/>
        </w:rPr>
        <w:t>podbudowy</w:t>
      </w:r>
    </w:p>
    <w:p w:rsidR="0099110D" w:rsidRPr="00FA4B4A" w:rsidRDefault="00A01EC0" w:rsidP="00004D1B">
      <w:pPr>
        <w:pStyle w:val="TytuSST"/>
        <w:widowControl w:val="0"/>
        <w:suppressLineNumbers/>
        <w:suppressAutoHyphens/>
        <w:ind w:left="1695" w:hanging="1695"/>
        <w:rPr>
          <w:sz w:val="18"/>
          <w:szCs w:val="18"/>
        </w:rPr>
      </w:pPr>
      <w:r w:rsidRPr="00FA4B4A">
        <w:rPr>
          <w:sz w:val="18"/>
          <w:szCs w:val="18"/>
        </w:rPr>
        <w:t>D.0</w:t>
      </w:r>
      <w:r w:rsidR="00004D1B" w:rsidRPr="00FA4B4A">
        <w:rPr>
          <w:sz w:val="18"/>
          <w:szCs w:val="18"/>
        </w:rPr>
        <w:t>4</w:t>
      </w:r>
      <w:r w:rsidR="0099110D" w:rsidRPr="00FA4B4A">
        <w:rPr>
          <w:sz w:val="18"/>
          <w:szCs w:val="18"/>
        </w:rPr>
        <w:t>.0</w:t>
      </w:r>
      <w:r w:rsidR="0071594E" w:rsidRPr="00FA4B4A">
        <w:rPr>
          <w:sz w:val="18"/>
          <w:szCs w:val="18"/>
        </w:rPr>
        <w:t>3</w:t>
      </w:r>
      <w:r w:rsidR="0099110D" w:rsidRPr="00FA4B4A">
        <w:rPr>
          <w:sz w:val="18"/>
          <w:szCs w:val="18"/>
        </w:rPr>
        <w:t>.0</w:t>
      </w:r>
      <w:r w:rsidRPr="00FA4B4A">
        <w:rPr>
          <w:sz w:val="18"/>
          <w:szCs w:val="18"/>
        </w:rPr>
        <w:t>1</w:t>
      </w:r>
      <w:r w:rsidR="0099110D" w:rsidRPr="00FA4B4A">
        <w:rPr>
          <w:sz w:val="18"/>
          <w:szCs w:val="18"/>
        </w:rPr>
        <w:tab/>
      </w:r>
      <w:r w:rsidR="0071594E" w:rsidRPr="00FA4B4A">
        <w:rPr>
          <w:sz w:val="18"/>
          <w:szCs w:val="18"/>
        </w:rPr>
        <w:t>OCZYSZCZENIE I SKROPIENIE WARSTW KONSTRUKCYJNYCH</w:t>
      </w:r>
    </w:p>
    <w:p w:rsidR="00BB782C" w:rsidRPr="00FA4B4A" w:rsidRDefault="00BB782C" w:rsidP="00CF57C8">
      <w:pPr>
        <w:pStyle w:val="Nagwek1"/>
        <w:keepNext w:val="0"/>
        <w:widowControl w:val="0"/>
        <w:suppressLineNumbers/>
        <w:tabs>
          <w:tab w:val="left" w:pos="680"/>
        </w:tabs>
        <w:suppressAutoHyphens/>
        <w:rPr>
          <w:szCs w:val="18"/>
        </w:rPr>
      </w:pPr>
      <w:bookmarkStart w:id="0" w:name="_Toc11653849"/>
      <w:r w:rsidRPr="00FA4B4A">
        <w:rPr>
          <w:szCs w:val="18"/>
        </w:rPr>
        <w:t>WSTĘP</w:t>
      </w:r>
      <w:bookmarkEnd w:id="0"/>
    </w:p>
    <w:p w:rsidR="00BB782C" w:rsidRPr="00FA4B4A" w:rsidRDefault="00BB782C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1" w:name="_Toc11653850"/>
      <w:r w:rsidRPr="00FA4B4A">
        <w:rPr>
          <w:szCs w:val="18"/>
        </w:rPr>
        <w:t xml:space="preserve">Przedmiot </w:t>
      </w:r>
      <w:r w:rsidR="006A6788" w:rsidRPr="00FA4B4A">
        <w:rPr>
          <w:szCs w:val="18"/>
        </w:rPr>
        <w:t>STWiORB</w:t>
      </w:r>
      <w:bookmarkEnd w:id="1"/>
      <w:r w:rsidR="008F1B3E" w:rsidRPr="00FA4B4A">
        <w:rPr>
          <w:szCs w:val="18"/>
        </w:rPr>
        <w:t xml:space="preserve"> </w:t>
      </w:r>
    </w:p>
    <w:p w:rsidR="009B2246" w:rsidRPr="00FA4B4A" w:rsidRDefault="00BB782C" w:rsidP="009B2246">
      <w:pPr>
        <w:widowControl w:val="0"/>
        <w:suppressLineNumbers/>
        <w:tabs>
          <w:tab w:val="left" w:pos="7511"/>
        </w:tabs>
        <w:suppressAutoHyphens/>
      </w:pPr>
      <w:r w:rsidRPr="00FA4B4A">
        <w:rPr>
          <w:szCs w:val="18"/>
        </w:rPr>
        <w:t>Przedmiotem niniejszych Specyfikacji Technicznych Wykonania i Odbioru Robót Budowlanych są wymagania dotyczące wykonania i odbioru Robót budowlanych związanych</w:t>
      </w:r>
      <w:r w:rsidR="00804259" w:rsidRPr="00FA4B4A">
        <w:rPr>
          <w:szCs w:val="18"/>
        </w:rPr>
        <w:t xml:space="preserve"> z </w:t>
      </w:r>
      <w:r w:rsidR="00007005" w:rsidRPr="00FA4B4A">
        <w:rPr>
          <w:szCs w:val="18"/>
        </w:rPr>
        <w:t xml:space="preserve">wykonaniem </w:t>
      </w:r>
      <w:r w:rsidR="0071594E" w:rsidRPr="00FA4B4A">
        <w:rPr>
          <w:szCs w:val="18"/>
        </w:rPr>
        <w:t>oczyszczenia i skropienia warstw konstrukcyjnych</w:t>
      </w:r>
      <w:r w:rsidRPr="00FA4B4A">
        <w:rPr>
          <w:szCs w:val="18"/>
        </w:rPr>
        <w:t xml:space="preserve">, w ramach </w:t>
      </w:r>
      <w:r w:rsidR="00B54890" w:rsidRPr="00FA4B4A">
        <w:rPr>
          <w:szCs w:val="18"/>
        </w:rPr>
        <w:t xml:space="preserve">zadania: </w:t>
      </w:r>
      <w:r w:rsidR="00EF2171">
        <w:t>adaptacji i dostosowania miejsc pasa drogowego DK44 w Tychach jako stanowiska Kontroli Ruchu Drogowego wraz z miejscem do ważenia pojazdów ciężarowych.</w:t>
      </w:r>
    </w:p>
    <w:p w:rsidR="00BB782C" w:rsidRPr="00FA4B4A" w:rsidRDefault="00BB782C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2" w:name="_Toc11653851"/>
      <w:r w:rsidRPr="00FA4B4A">
        <w:rPr>
          <w:szCs w:val="18"/>
        </w:rPr>
        <w:t xml:space="preserve">Zakres stosowania </w:t>
      </w:r>
      <w:r w:rsidR="006A6788" w:rsidRPr="00FA4B4A">
        <w:rPr>
          <w:szCs w:val="18"/>
        </w:rPr>
        <w:t>STWiORB</w:t>
      </w:r>
      <w:bookmarkEnd w:id="2"/>
    </w:p>
    <w:p w:rsidR="003F4BCD" w:rsidRPr="00FA4B4A" w:rsidRDefault="006A6788" w:rsidP="00CF57C8">
      <w:pPr>
        <w:widowControl w:val="0"/>
        <w:suppressLineNumbers/>
        <w:tabs>
          <w:tab w:val="left" w:pos="7511"/>
        </w:tabs>
        <w:suppressAutoHyphens/>
        <w:rPr>
          <w:szCs w:val="18"/>
        </w:rPr>
      </w:pPr>
      <w:r w:rsidRPr="00FA4B4A">
        <w:rPr>
          <w:szCs w:val="18"/>
        </w:rPr>
        <w:t xml:space="preserve">STWiORB jest stosowana, jako </w:t>
      </w:r>
      <w:r w:rsidR="00532EC6" w:rsidRPr="00FA4B4A">
        <w:rPr>
          <w:szCs w:val="18"/>
        </w:rPr>
        <w:t xml:space="preserve">dokument </w:t>
      </w:r>
      <w:r w:rsidRPr="00FA4B4A">
        <w:rPr>
          <w:szCs w:val="18"/>
        </w:rPr>
        <w:t>Kontraktowy przy realizacji Robót wymienionych w p. 1.1.</w:t>
      </w:r>
    </w:p>
    <w:p w:rsidR="00BB782C" w:rsidRPr="00FA4B4A" w:rsidRDefault="00BB782C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3" w:name="_Toc11653852"/>
      <w:r w:rsidRPr="00FA4B4A">
        <w:rPr>
          <w:szCs w:val="18"/>
        </w:rPr>
        <w:t xml:space="preserve">Zakres Robót objętych </w:t>
      </w:r>
      <w:r w:rsidR="006A6788" w:rsidRPr="00FA4B4A">
        <w:rPr>
          <w:szCs w:val="18"/>
        </w:rPr>
        <w:t>STWiORB</w:t>
      </w:r>
      <w:bookmarkEnd w:id="3"/>
      <w:r w:rsidR="00E912E0" w:rsidRPr="00FA4B4A">
        <w:rPr>
          <w:szCs w:val="18"/>
        </w:rPr>
        <w:t xml:space="preserve"> </w:t>
      </w:r>
    </w:p>
    <w:p w:rsidR="0071594E" w:rsidRPr="00FA4B4A" w:rsidRDefault="0071594E" w:rsidP="0071594E">
      <w:pPr>
        <w:widowControl w:val="0"/>
        <w:suppressLineNumbers/>
        <w:tabs>
          <w:tab w:val="left" w:pos="7511"/>
        </w:tabs>
        <w:suppressAutoHyphens/>
        <w:rPr>
          <w:szCs w:val="18"/>
        </w:rPr>
      </w:pPr>
      <w:r w:rsidRPr="00FA4B4A">
        <w:rPr>
          <w:szCs w:val="18"/>
        </w:rPr>
        <w:t>Wymagania zawarte w niniejszej specyfikacji dotyczą zasad prowadzenia robót związanych z oczyszczeniem i skropieniem warstw konstrukcyjnych nawierzchni:</w:t>
      </w:r>
    </w:p>
    <w:p w:rsidR="0071594E" w:rsidRPr="00FA4B4A" w:rsidRDefault="0071594E" w:rsidP="00E25AA5">
      <w:pPr>
        <w:keepNext/>
        <w:keepLines/>
        <w:numPr>
          <w:ilvl w:val="0"/>
          <w:numId w:val="10"/>
        </w:numPr>
        <w:tabs>
          <w:tab w:val="left" w:pos="0"/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0"/>
        <w:ind w:left="777" w:hanging="493"/>
        <w:rPr>
          <w:b/>
          <w:szCs w:val="18"/>
        </w:rPr>
      </w:pPr>
      <w:r w:rsidRPr="00FA4B4A">
        <w:rPr>
          <w:b/>
          <w:szCs w:val="18"/>
        </w:rPr>
        <w:t>warstw konstrukcyjnych niebitumicznych: podbudowy zasadniczej z mieszanki kruszywa niezwiązanego</w:t>
      </w:r>
      <w:r w:rsidR="009E0AB0" w:rsidRPr="00FA4B4A">
        <w:rPr>
          <w:b/>
          <w:szCs w:val="18"/>
        </w:rPr>
        <w:t>.</w:t>
      </w:r>
      <w:r w:rsidRPr="00FA4B4A">
        <w:rPr>
          <w:b/>
          <w:szCs w:val="18"/>
        </w:rPr>
        <w:t xml:space="preserve"> </w:t>
      </w:r>
    </w:p>
    <w:p w:rsidR="0071594E" w:rsidRPr="00FA4B4A" w:rsidRDefault="0071594E" w:rsidP="00E25AA5">
      <w:pPr>
        <w:keepNext/>
        <w:keepLines/>
        <w:numPr>
          <w:ilvl w:val="0"/>
          <w:numId w:val="10"/>
        </w:numPr>
        <w:tabs>
          <w:tab w:val="left" w:pos="0"/>
          <w:tab w:val="left" w:pos="851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0"/>
        <w:ind w:left="777" w:hanging="493"/>
        <w:rPr>
          <w:szCs w:val="18"/>
        </w:rPr>
      </w:pPr>
      <w:r w:rsidRPr="00FA4B4A">
        <w:rPr>
          <w:b/>
          <w:szCs w:val="18"/>
        </w:rPr>
        <w:t xml:space="preserve">warstw konstrukcyjnych bitumicznych: podbudowy zasadniczej z </w:t>
      </w:r>
      <w:r w:rsidR="00E912E0" w:rsidRPr="00FA4B4A">
        <w:rPr>
          <w:b/>
          <w:szCs w:val="18"/>
        </w:rPr>
        <w:t>AC</w:t>
      </w:r>
      <w:r w:rsidRPr="00FA4B4A">
        <w:rPr>
          <w:b/>
          <w:szCs w:val="18"/>
        </w:rPr>
        <w:t xml:space="preserve">, warstwy wiążącej z </w:t>
      </w:r>
      <w:r w:rsidR="00E912E0" w:rsidRPr="00FA4B4A">
        <w:rPr>
          <w:b/>
          <w:szCs w:val="18"/>
        </w:rPr>
        <w:t>AC</w:t>
      </w:r>
      <w:r w:rsidRPr="00FA4B4A">
        <w:rPr>
          <w:b/>
          <w:szCs w:val="18"/>
        </w:rPr>
        <w:t>, istn. naw. bitumicznej oraz w-wy wyrównawczej</w:t>
      </w:r>
      <w:r w:rsidRPr="00FA4B4A">
        <w:rPr>
          <w:szCs w:val="18"/>
        </w:rPr>
        <w:t>.</w:t>
      </w:r>
    </w:p>
    <w:p w:rsidR="00BB782C" w:rsidRPr="00FA4B4A" w:rsidRDefault="00BB782C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4" w:name="_Toc11653853"/>
      <w:r w:rsidRPr="00FA4B4A">
        <w:rPr>
          <w:szCs w:val="18"/>
        </w:rPr>
        <w:t>Określenia podstawowe</w:t>
      </w:r>
      <w:bookmarkEnd w:id="4"/>
    </w:p>
    <w:p w:rsidR="002953D2" w:rsidRPr="00FA4B4A" w:rsidRDefault="002953D2" w:rsidP="002953D2">
      <w:pPr>
        <w:pStyle w:val="Nagwek3"/>
        <w:keepNext w:val="0"/>
        <w:widowControl w:val="0"/>
        <w:suppressLineNumbers/>
        <w:suppressAutoHyphens/>
        <w:rPr>
          <w:b w:val="0"/>
          <w:bCs/>
          <w:szCs w:val="18"/>
        </w:rPr>
      </w:pPr>
      <w:bookmarkStart w:id="5" w:name="_Toc11653854"/>
      <w:r w:rsidRPr="00FA4B4A">
        <w:rPr>
          <w:bCs/>
          <w:szCs w:val="18"/>
        </w:rPr>
        <w:t xml:space="preserve">Emulsja asfaltowa </w:t>
      </w:r>
      <w:r w:rsidRPr="00FA4B4A">
        <w:rPr>
          <w:b w:val="0"/>
          <w:bCs/>
          <w:szCs w:val="18"/>
        </w:rPr>
        <w:t xml:space="preserve">– jest to emulsja, w której fazą zdyspergowaną jest asfalt, a fazą ciągłą jest woda </w:t>
      </w:r>
      <w:r w:rsidR="00FA4B4A" w:rsidRPr="00FA4B4A">
        <w:rPr>
          <w:b w:val="0"/>
          <w:bCs/>
          <w:szCs w:val="18"/>
        </w:rPr>
        <w:t>lub roztwór</w:t>
      </w:r>
      <w:r w:rsidRPr="00FA4B4A">
        <w:rPr>
          <w:b w:val="0"/>
          <w:bCs/>
          <w:szCs w:val="18"/>
        </w:rPr>
        <w:t xml:space="preserve"> wodny, o ile nie ustalono inaczej. Emulsją asfaltową jest także emulsja, w której zdyspergowana faza może zawierać upłynniacz, dodawany w celu łatwiejszego zemulgowania lub poprawy charakterystyki użytkowej emulsji.</w:t>
      </w:r>
      <w:bookmarkEnd w:id="5"/>
    </w:p>
    <w:p w:rsidR="002953D2" w:rsidRPr="00FA4B4A" w:rsidRDefault="002953D2" w:rsidP="002953D2">
      <w:pPr>
        <w:pStyle w:val="Nagwek3"/>
        <w:keepNext w:val="0"/>
        <w:widowControl w:val="0"/>
        <w:suppressLineNumbers/>
        <w:suppressAutoHyphens/>
        <w:rPr>
          <w:b w:val="0"/>
          <w:bCs/>
          <w:szCs w:val="18"/>
        </w:rPr>
      </w:pPr>
      <w:r w:rsidRPr="00FA4B4A">
        <w:rPr>
          <w:bCs/>
          <w:szCs w:val="18"/>
        </w:rPr>
        <w:tab/>
      </w:r>
      <w:bookmarkStart w:id="6" w:name="_Toc11653855"/>
      <w:r w:rsidRPr="00FA4B4A">
        <w:rPr>
          <w:bCs/>
          <w:szCs w:val="18"/>
        </w:rPr>
        <w:t xml:space="preserve">Kationowa emulsja asfaltowa </w:t>
      </w:r>
      <w:r w:rsidRPr="00FA4B4A">
        <w:rPr>
          <w:b w:val="0"/>
          <w:bCs/>
          <w:szCs w:val="18"/>
        </w:rPr>
        <w:t>– jest to emulsja, w której emulgator nadaje dodatnie ładunki cząstkom zdyspergowanego asfaltu.</w:t>
      </w:r>
      <w:bookmarkEnd w:id="6"/>
    </w:p>
    <w:p w:rsidR="002953D2" w:rsidRPr="00FA4B4A" w:rsidRDefault="002953D2" w:rsidP="002953D2">
      <w:pPr>
        <w:pStyle w:val="Nagwek3"/>
        <w:keepNext w:val="0"/>
        <w:widowControl w:val="0"/>
        <w:suppressLineNumbers/>
        <w:suppressAutoHyphens/>
        <w:rPr>
          <w:b w:val="0"/>
          <w:bCs/>
          <w:szCs w:val="18"/>
        </w:rPr>
      </w:pPr>
      <w:bookmarkStart w:id="7" w:name="_Toc11653856"/>
      <w:r w:rsidRPr="00FA4B4A">
        <w:rPr>
          <w:bCs/>
          <w:szCs w:val="18"/>
        </w:rPr>
        <w:t xml:space="preserve">Emulsja asfaltowa modyfikowana polimerami </w:t>
      </w:r>
      <w:r w:rsidRPr="00FA4B4A">
        <w:rPr>
          <w:b w:val="0"/>
          <w:bCs/>
          <w:szCs w:val="18"/>
        </w:rPr>
        <w:t>– jest to emulsja, w której asfalt modyfikowany polimerami albo jest to emulsja modyfikowana lateksem kationowym.</w:t>
      </w:r>
      <w:bookmarkEnd w:id="7"/>
    </w:p>
    <w:p w:rsidR="002953D2" w:rsidRPr="00FA4B4A" w:rsidRDefault="002953D2" w:rsidP="002953D2">
      <w:pPr>
        <w:pStyle w:val="Nagwek3"/>
        <w:keepNext w:val="0"/>
        <w:widowControl w:val="0"/>
        <w:suppressLineNumbers/>
        <w:suppressAutoHyphens/>
        <w:rPr>
          <w:b w:val="0"/>
          <w:bCs/>
          <w:szCs w:val="18"/>
        </w:rPr>
      </w:pPr>
      <w:bookmarkStart w:id="8" w:name="_Toc11653857"/>
      <w:r w:rsidRPr="00FA4B4A">
        <w:rPr>
          <w:bCs/>
          <w:szCs w:val="18"/>
        </w:rPr>
        <w:t xml:space="preserve">Połączenie międzywarstwowe </w:t>
      </w:r>
      <w:r w:rsidRPr="00FA4B4A">
        <w:rPr>
          <w:b w:val="0"/>
          <w:bCs/>
          <w:szCs w:val="18"/>
        </w:rPr>
        <w:t>– związanie asfaltowych warstw konstrukcyjnych nawierzchni i podbudowy z kruszyw przez skropienie warstwy dolnej emulsją asfaltową w celu zwiększenia wytrzymałości zespołu warstw (dolnej i górnej) i uniemożliwienia penetracji wody między warstwami.</w:t>
      </w:r>
      <w:bookmarkEnd w:id="8"/>
    </w:p>
    <w:p w:rsidR="00007005" w:rsidRPr="00FA4B4A" w:rsidRDefault="00007005" w:rsidP="00CF57C8">
      <w:pPr>
        <w:pStyle w:val="Nagwek3"/>
        <w:keepNext w:val="0"/>
        <w:widowControl w:val="0"/>
        <w:suppressLineNumbers/>
        <w:suppressAutoHyphens/>
        <w:rPr>
          <w:b w:val="0"/>
          <w:bCs/>
          <w:szCs w:val="18"/>
        </w:rPr>
      </w:pPr>
      <w:bookmarkStart w:id="9" w:name="_Toc11653858"/>
      <w:r w:rsidRPr="00FA4B4A">
        <w:rPr>
          <w:b w:val="0"/>
          <w:bCs/>
          <w:szCs w:val="18"/>
        </w:rPr>
        <w:t>Pozostałe określenia podstawowe są zgodne z obowiązującymi, odpowiednimi polskimi normami i z definicjami podanymi w STWiORB D-M-00.00.00 „Wymagania ogólne” pkt 1.4.</w:t>
      </w:r>
      <w:bookmarkEnd w:id="9"/>
    </w:p>
    <w:p w:rsidR="00BB782C" w:rsidRPr="00FA4B4A" w:rsidRDefault="00BB782C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10" w:name="_Toc11653859"/>
      <w:r w:rsidRPr="00FA4B4A">
        <w:rPr>
          <w:szCs w:val="18"/>
        </w:rPr>
        <w:t>Ogólne wymagania dotyczące Robót</w:t>
      </w:r>
      <w:bookmarkEnd w:id="10"/>
    </w:p>
    <w:p w:rsidR="00BB782C" w:rsidRPr="00FA4B4A" w:rsidRDefault="00BB782C" w:rsidP="00CF57C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Ogólne wymagania dotyczące robót podano w </w:t>
      </w:r>
      <w:r w:rsidR="00D819E4" w:rsidRPr="00FA4B4A">
        <w:rPr>
          <w:szCs w:val="18"/>
        </w:rPr>
        <w:t xml:space="preserve">STWiORB </w:t>
      </w:r>
      <w:r w:rsidRPr="00FA4B4A">
        <w:rPr>
          <w:szCs w:val="18"/>
        </w:rPr>
        <w:t>D</w:t>
      </w:r>
      <w:r w:rsidR="00D076AD" w:rsidRPr="00FA4B4A">
        <w:rPr>
          <w:szCs w:val="18"/>
        </w:rPr>
        <w:t>-</w:t>
      </w:r>
      <w:r w:rsidRPr="00FA4B4A">
        <w:rPr>
          <w:szCs w:val="18"/>
        </w:rPr>
        <w:t>M.00.00.00 „</w:t>
      </w:r>
      <w:r w:rsidR="00D076AD" w:rsidRPr="00FA4B4A">
        <w:rPr>
          <w:szCs w:val="18"/>
        </w:rPr>
        <w:t>Wymagania ogólne dla robót</w:t>
      </w:r>
      <w:r w:rsidRPr="00FA4B4A">
        <w:rPr>
          <w:szCs w:val="18"/>
        </w:rPr>
        <w:t>” p.1.5.</w:t>
      </w:r>
    </w:p>
    <w:p w:rsidR="00BB782C" w:rsidRPr="00FA4B4A" w:rsidRDefault="00BB782C" w:rsidP="00CF57C8">
      <w:pPr>
        <w:pStyle w:val="Nagwek1"/>
        <w:keepNext w:val="0"/>
        <w:widowControl w:val="0"/>
        <w:suppressLineNumbers/>
        <w:tabs>
          <w:tab w:val="left" w:pos="680"/>
        </w:tabs>
        <w:suppressAutoHyphens/>
        <w:rPr>
          <w:szCs w:val="18"/>
        </w:rPr>
      </w:pPr>
      <w:bookmarkStart w:id="11" w:name="_Toc11653860"/>
      <w:r w:rsidRPr="00FA4B4A">
        <w:rPr>
          <w:szCs w:val="18"/>
        </w:rPr>
        <w:t>MATERIAŁY</w:t>
      </w:r>
      <w:bookmarkEnd w:id="11"/>
    </w:p>
    <w:p w:rsidR="00F51537" w:rsidRPr="00FA4B4A" w:rsidRDefault="00F51537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12" w:name="_Toc11653861"/>
      <w:r w:rsidRPr="00FA4B4A">
        <w:rPr>
          <w:szCs w:val="18"/>
        </w:rPr>
        <w:t>Ogólne wymagania dotyczące materiałów</w:t>
      </w:r>
      <w:bookmarkEnd w:id="12"/>
    </w:p>
    <w:p w:rsidR="00F51537" w:rsidRPr="00FA4B4A" w:rsidRDefault="00F51537" w:rsidP="00CF57C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Ogólne wymagania dotyczące materiałów, ich pozyskiwania i składowania, podano w STWi</w:t>
      </w:r>
      <w:r w:rsidR="009D1557" w:rsidRPr="00FA4B4A">
        <w:rPr>
          <w:szCs w:val="18"/>
        </w:rPr>
        <w:t>ORB D-M-00.00.00 „WYMAGANIA OGÓL</w:t>
      </w:r>
      <w:r w:rsidRPr="00FA4B4A">
        <w:rPr>
          <w:szCs w:val="18"/>
        </w:rPr>
        <w:t>NE DLA ROBÓT” pkt 2.</w:t>
      </w:r>
    </w:p>
    <w:p w:rsidR="009F5B45" w:rsidRPr="00FA4B4A" w:rsidRDefault="009F5B45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13" w:name="_Toc407069668"/>
      <w:bookmarkStart w:id="14" w:name="_Toc407081633"/>
      <w:bookmarkStart w:id="15" w:name="_Toc407081776"/>
      <w:bookmarkStart w:id="16" w:name="_Toc407083432"/>
      <w:bookmarkStart w:id="17" w:name="_Toc407084266"/>
      <w:bookmarkStart w:id="18" w:name="_Toc407085385"/>
      <w:bookmarkStart w:id="19" w:name="_Toc407085528"/>
      <w:bookmarkStart w:id="20" w:name="_Toc407085671"/>
      <w:bookmarkStart w:id="21" w:name="_Toc407086119"/>
      <w:bookmarkStart w:id="22" w:name="_Toc11653862"/>
      <w:r w:rsidRPr="00FA4B4A">
        <w:rPr>
          <w:szCs w:val="18"/>
        </w:rPr>
        <w:t>Rodzaje materiałów do wykonania skropienia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Materiałem stosowanym przy wykonaniu skropienia według zasad niniejszej STWiORB powinny być kationowe emulsje asfaltowe spełniające wymagania PN-EN 13808</w:t>
      </w:r>
      <w:r w:rsidR="003A06E3" w:rsidRPr="00FA4B4A">
        <w:rPr>
          <w:szCs w:val="18"/>
        </w:rPr>
        <w:t>+Ap1</w:t>
      </w:r>
      <w:r w:rsidRPr="00FA4B4A">
        <w:rPr>
          <w:szCs w:val="18"/>
        </w:rPr>
        <w:t xml:space="preserve"> lub Aprobaty Technicznej.</w:t>
      </w:r>
    </w:p>
    <w:p w:rsidR="00956131" w:rsidRPr="00FA4B4A" w:rsidRDefault="00956131" w:rsidP="00956131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Do skropienia podbudowy z mieszanki kruszywa niezwiązanego oraz podbudowy z gruntu stabilizowanego spoiwami hydraulicznymi stosować kationową emulsję asfaltową niemodyfikowaną C60B10 ZM/R.</w:t>
      </w:r>
    </w:p>
    <w:p w:rsidR="00956131" w:rsidRPr="00FA4B4A" w:rsidRDefault="00956131" w:rsidP="00956131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Do skropienia podbudowy z AC i warstwy wiążącej AC z asfaltem zwykłym należy stosować kationową emulsję asfaltową niemodyfikowaną C60B3 ZM lub C60B10 ZM/R.</w:t>
      </w:r>
    </w:p>
    <w:p w:rsidR="00956131" w:rsidRPr="00FA4B4A" w:rsidRDefault="00956131" w:rsidP="00956131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Do skropienia warstwy podbudowy i wiążącej z AC z asfaltem modyfikowanym należy stosować kationową emulsję asfaltową modyfikowaną C60BP3 ZM. Dopuszcza się również zastosowanie emulsję asfaltową niemodyfikowaną C60B3 ZM lub C60B10 ZM/R po uprzednim sprawdzeniu wytrzymałości na ścinanie połączenia miedzy warstwami (szczepność). </w:t>
      </w:r>
    </w:p>
    <w:p w:rsidR="00956131" w:rsidRPr="00FA4B4A" w:rsidRDefault="00956131" w:rsidP="00FA4B4A">
      <w:pPr>
        <w:pStyle w:val="Nagwek7"/>
        <w:numPr>
          <w:ilvl w:val="0"/>
          <w:numId w:val="0"/>
        </w:numPr>
        <w:spacing w:before="240" w:after="0"/>
        <w:rPr>
          <w:bCs w:val="0"/>
          <w:i/>
          <w:iCs w:val="0"/>
        </w:rPr>
      </w:pPr>
      <w:r w:rsidRPr="00FA4B4A">
        <w:rPr>
          <w:bCs w:val="0"/>
          <w:i/>
          <w:iCs w:val="0"/>
        </w:rPr>
        <w:t xml:space="preserve">Tablica 1. </w:t>
      </w:r>
      <w:r w:rsidRPr="00FA4B4A">
        <w:rPr>
          <w:bCs w:val="0"/>
          <w:i/>
          <w:iCs w:val="0"/>
        </w:rPr>
        <w:tab/>
        <w:t>Wymagania dla asfaltowych emulsji kationowych do wykonania skropienia pod warstwy nawierzchni z betonu asfaltowego.</w:t>
      </w: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26"/>
        <w:gridCol w:w="1134"/>
        <w:gridCol w:w="709"/>
        <w:gridCol w:w="850"/>
        <w:gridCol w:w="923"/>
        <w:gridCol w:w="923"/>
        <w:gridCol w:w="847"/>
        <w:gridCol w:w="992"/>
        <w:gridCol w:w="851"/>
      </w:tblGrid>
      <w:tr w:rsidR="00FA4B4A" w:rsidRPr="00FA4B4A" w:rsidTr="00D32784">
        <w:trPr>
          <w:trHeight w:val="454"/>
          <w:tblHeader/>
          <w:jc w:val="center"/>
        </w:trPr>
        <w:tc>
          <w:tcPr>
            <w:tcW w:w="496" w:type="dxa"/>
            <w:vMerge w:val="restart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Lp.</w:t>
            </w:r>
          </w:p>
        </w:tc>
        <w:tc>
          <w:tcPr>
            <w:tcW w:w="2126" w:type="dxa"/>
            <w:vMerge w:val="restart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Właściwości</w:t>
            </w:r>
          </w:p>
        </w:tc>
        <w:tc>
          <w:tcPr>
            <w:tcW w:w="1134" w:type="dxa"/>
            <w:vMerge w:val="restart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Metoda badania wg normy</w:t>
            </w:r>
          </w:p>
        </w:tc>
        <w:tc>
          <w:tcPr>
            <w:tcW w:w="709" w:type="dxa"/>
            <w:vMerge w:val="restart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Jednostka</w:t>
            </w:r>
          </w:p>
        </w:tc>
        <w:tc>
          <w:tcPr>
            <w:tcW w:w="1773" w:type="dxa"/>
            <w:gridSpan w:val="2"/>
            <w:tcBorders>
              <w:bottom w:val="single" w:sz="4" w:space="0" w:color="auto"/>
            </w:tcBorders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b/>
              </w:rPr>
            </w:pPr>
            <w:r w:rsidRPr="00FA4B4A">
              <w:rPr>
                <w:b/>
              </w:rPr>
              <w:t>C60B3 ZM</w:t>
            </w:r>
          </w:p>
          <w:p w:rsidR="00626697" w:rsidRPr="00FA4B4A" w:rsidRDefault="00626697" w:rsidP="00D32784">
            <w:pPr>
              <w:spacing w:before="0"/>
              <w:jc w:val="center"/>
            </w:pPr>
            <w:r w:rsidRPr="00FA4B4A">
              <w:t>C60B4 ZM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</w:tcBorders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C60B5 ZM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b/>
              </w:rPr>
            </w:pPr>
            <w:r w:rsidRPr="00FA4B4A">
              <w:rPr>
                <w:b/>
              </w:rPr>
              <w:t>C60B10 ZM/r</w:t>
            </w:r>
          </w:p>
        </w:tc>
      </w:tr>
      <w:tr w:rsidR="00FA4B4A" w:rsidRPr="00FA4B4A" w:rsidTr="00D32784">
        <w:trPr>
          <w:tblHeader/>
          <w:jc w:val="center"/>
        </w:trPr>
        <w:tc>
          <w:tcPr>
            <w:tcW w:w="496" w:type="dxa"/>
            <w:vMerge/>
            <w:vAlign w:val="center"/>
          </w:tcPr>
          <w:p w:rsidR="00626697" w:rsidRPr="00FA4B4A" w:rsidRDefault="00626697" w:rsidP="00D32784">
            <w:pPr>
              <w:spacing w:before="0"/>
            </w:pPr>
          </w:p>
        </w:tc>
        <w:tc>
          <w:tcPr>
            <w:tcW w:w="2126" w:type="dxa"/>
            <w:vMerge/>
            <w:vAlign w:val="center"/>
          </w:tcPr>
          <w:p w:rsidR="00626697" w:rsidRPr="00FA4B4A" w:rsidRDefault="00626697" w:rsidP="00D32784">
            <w:pPr>
              <w:spacing w:before="0"/>
            </w:pPr>
          </w:p>
        </w:tc>
        <w:tc>
          <w:tcPr>
            <w:tcW w:w="1134" w:type="dxa"/>
            <w:vMerge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</w:p>
        </w:tc>
        <w:tc>
          <w:tcPr>
            <w:tcW w:w="850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Klasa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Zakres wartości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Klasa</w:t>
            </w:r>
          </w:p>
        </w:tc>
        <w:tc>
          <w:tcPr>
            <w:tcW w:w="847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Zakres wartości</w:t>
            </w: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Klasa</w:t>
            </w: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Zakres wartości</w:t>
            </w:r>
          </w:p>
        </w:tc>
      </w:tr>
      <w:tr w:rsidR="00FA4B4A" w:rsidRPr="00FA4B4A" w:rsidTr="00630248">
        <w:trPr>
          <w:jc w:val="center"/>
        </w:trPr>
        <w:tc>
          <w:tcPr>
            <w:tcW w:w="496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1.</w:t>
            </w:r>
          </w:p>
        </w:tc>
        <w:tc>
          <w:tcPr>
            <w:tcW w:w="2126" w:type="dxa"/>
            <w:vAlign w:val="center"/>
          </w:tcPr>
          <w:p w:rsidR="00626697" w:rsidRPr="00FA4B4A" w:rsidRDefault="00626697" w:rsidP="00D32784">
            <w:pPr>
              <w:spacing w:before="0"/>
            </w:pPr>
            <w:r w:rsidRPr="00FA4B4A">
              <w:t>Indeks rozpadu</w:t>
            </w:r>
          </w:p>
        </w:tc>
        <w:tc>
          <w:tcPr>
            <w:tcW w:w="1134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PN-EN-13075-1</w:t>
            </w:r>
          </w:p>
        </w:tc>
        <w:tc>
          <w:tcPr>
            <w:tcW w:w="709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-</w:t>
            </w:r>
          </w:p>
        </w:tc>
        <w:tc>
          <w:tcPr>
            <w:tcW w:w="850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3 lub 4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50-100 lub</w:t>
            </w:r>
          </w:p>
          <w:p w:rsidR="00626697" w:rsidRPr="00FA4B4A" w:rsidRDefault="00626697" w:rsidP="00D32784">
            <w:pPr>
              <w:spacing w:before="0"/>
              <w:jc w:val="center"/>
              <w:rPr>
                <w:vertAlign w:val="subscript"/>
              </w:rPr>
            </w:pPr>
            <w:r w:rsidRPr="00FA4B4A">
              <w:t>70-130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5</w:t>
            </w:r>
          </w:p>
        </w:tc>
        <w:tc>
          <w:tcPr>
            <w:tcW w:w="847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120-180</w:t>
            </w: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0</w:t>
            </w: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NR</w:t>
            </w:r>
            <w:r w:rsidRPr="00FA4B4A">
              <w:rPr>
                <w:vertAlign w:val="superscript"/>
              </w:rPr>
              <w:t>a</w:t>
            </w:r>
          </w:p>
        </w:tc>
      </w:tr>
      <w:tr w:rsidR="00FA4B4A" w:rsidRPr="00FA4B4A" w:rsidTr="00630248">
        <w:trPr>
          <w:jc w:val="center"/>
        </w:trPr>
        <w:tc>
          <w:tcPr>
            <w:tcW w:w="496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2.</w:t>
            </w:r>
          </w:p>
        </w:tc>
        <w:tc>
          <w:tcPr>
            <w:tcW w:w="2126" w:type="dxa"/>
            <w:vAlign w:val="center"/>
          </w:tcPr>
          <w:p w:rsidR="00626697" w:rsidRPr="00FA4B4A" w:rsidRDefault="00626697" w:rsidP="00D32784">
            <w:pPr>
              <w:spacing w:before="0"/>
            </w:pPr>
            <w:r w:rsidRPr="00FA4B4A">
              <w:t>Zawartość lepiszcza</w:t>
            </w:r>
          </w:p>
        </w:tc>
        <w:tc>
          <w:tcPr>
            <w:tcW w:w="1134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PN-EN-1428</w:t>
            </w:r>
          </w:p>
        </w:tc>
        <w:tc>
          <w:tcPr>
            <w:tcW w:w="709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%(m/m)</w:t>
            </w:r>
          </w:p>
        </w:tc>
        <w:tc>
          <w:tcPr>
            <w:tcW w:w="850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5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vertAlign w:val="subscript"/>
              </w:rPr>
            </w:pPr>
            <w:r w:rsidRPr="00FA4B4A">
              <w:t>58-</w:t>
            </w:r>
            <w:smartTag w:uri="urn:schemas-microsoft-com:office:smarttags" w:element="metricconverter">
              <w:smartTagPr>
                <w:attr w:name="ProductID" w:val="62 a"/>
              </w:smartTagPr>
              <w:r w:rsidRPr="00FA4B4A">
                <w:t>62</w:t>
              </w:r>
              <w:r w:rsidRPr="00FA4B4A">
                <w:rPr>
                  <w:vertAlign w:val="superscript"/>
                  <w:lang w:val="de-DE"/>
                </w:rPr>
                <w:t xml:space="preserve"> a</w:t>
              </w:r>
            </w:smartTag>
            <w:r w:rsidRPr="00FA4B4A">
              <w:rPr>
                <w:vertAlign w:val="superscript"/>
                <w:lang w:val="de-DE"/>
              </w:rPr>
              <w:t>)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5</w:t>
            </w:r>
          </w:p>
        </w:tc>
        <w:tc>
          <w:tcPr>
            <w:tcW w:w="847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58-</w:t>
            </w:r>
            <w:smartTag w:uri="urn:schemas-microsoft-com:office:smarttags" w:element="metricconverter">
              <w:smartTagPr>
                <w:attr w:name="ProductID" w:val="62 a"/>
              </w:smartTagPr>
              <w:r w:rsidRPr="00FA4B4A">
                <w:t>62</w:t>
              </w:r>
              <w:r w:rsidRPr="00FA4B4A">
                <w:rPr>
                  <w:vertAlign w:val="superscript"/>
                  <w:lang w:val="de-DE"/>
                </w:rPr>
                <w:t xml:space="preserve"> a</w:t>
              </w:r>
            </w:smartTag>
            <w:r w:rsidRPr="00FA4B4A">
              <w:rPr>
                <w:vertAlign w:val="superscript"/>
                <w:lang w:val="de-DE"/>
              </w:rPr>
              <w:t>)</w:t>
            </w: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6</w:t>
            </w: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58 - 62</w:t>
            </w:r>
          </w:p>
        </w:tc>
      </w:tr>
      <w:tr w:rsidR="00FA4B4A" w:rsidRPr="00FA4B4A" w:rsidTr="00630248">
        <w:trPr>
          <w:jc w:val="center"/>
        </w:trPr>
        <w:tc>
          <w:tcPr>
            <w:tcW w:w="496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3.</w:t>
            </w:r>
          </w:p>
        </w:tc>
        <w:tc>
          <w:tcPr>
            <w:tcW w:w="2126" w:type="dxa"/>
            <w:vAlign w:val="center"/>
          </w:tcPr>
          <w:p w:rsidR="00626697" w:rsidRPr="00FA4B4A" w:rsidRDefault="00626697" w:rsidP="00D32784">
            <w:pPr>
              <w:spacing w:before="0"/>
            </w:pPr>
            <w:r w:rsidRPr="00FA4B4A">
              <w:t xml:space="preserve">Czas wypływu dla Φ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FA4B4A">
                <w:t>2 mm</w:t>
              </w:r>
            </w:smartTag>
            <w:r w:rsidRPr="00FA4B4A">
              <w:t xml:space="preserve"> w 40 </w:t>
            </w:r>
            <w:r w:rsidRPr="00FA4B4A">
              <w:rPr>
                <w:vertAlign w:val="superscript"/>
              </w:rPr>
              <w:t>o</w:t>
            </w:r>
            <w:r w:rsidRPr="00FA4B4A">
              <w:t>C</w:t>
            </w:r>
          </w:p>
        </w:tc>
        <w:tc>
          <w:tcPr>
            <w:tcW w:w="1134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PN-EN-12846</w:t>
            </w:r>
          </w:p>
        </w:tc>
        <w:tc>
          <w:tcPr>
            <w:tcW w:w="709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s</w:t>
            </w:r>
          </w:p>
        </w:tc>
        <w:tc>
          <w:tcPr>
            <w:tcW w:w="850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1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TBR</w:t>
            </w:r>
            <w:r w:rsidRPr="00FA4B4A">
              <w:rPr>
                <w:vertAlign w:val="superscript"/>
                <w:lang w:val="de-DE"/>
              </w:rPr>
              <w:t xml:space="preserve"> b)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1</w:t>
            </w:r>
          </w:p>
        </w:tc>
        <w:tc>
          <w:tcPr>
            <w:tcW w:w="847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TBR</w:t>
            </w:r>
            <w:r w:rsidRPr="00FA4B4A">
              <w:rPr>
                <w:vertAlign w:val="superscript"/>
                <w:lang w:val="de-DE"/>
              </w:rPr>
              <w:t xml:space="preserve"> b)</w:t>
            </w: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3</w:t>
            </w: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15-70</w:t>
            </w:r>
          </w:p>
        </w:tc>
      </w:tr>
      <w:tr w:rsidR="00FA4B4A" w:rsidRPr="00FA4B4A" w:rsidTr="00630248">
        <w:trPr>
          <w:jc w:val="center"/>
        </w:trPr>
        <w:tc>
          <w:tcPr>
            <w:tcW w:w="496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4.</w:t>
            </w:r>
          </w:p>
        </w:tc>
        <w:tc>
          <w:tcPr>
            <w:tcW w:w="2126" w:type="dxa"/>
            <w:vAlign w:val="center"/>
          </w:tcPr>
          <w:p w:rsidR="00626697" w:rsidRPr="00FA4B4A" w:rsidRDefault="00626697" w:rsidP="00D32784">
            <w:pPr>
              <w:spacing w:before="0"/>
            </w:pPr>
            <w:r w:rsidRPr="00FA4B4A">
              <w:t xml:space="preserve">Pozostałość na sicie </w:t>
            </w:r>
            <w:smartTag w:uri="urn:schemas-microsoft-com:office:smarttags" w:element="metricconverter">
              <w:smartTagPr>
                <w:attr w:name="ProductID" w:val="0,5 mm"/>
              </w:smartTagPr>
              <w:r w:rsidRPr="00FA4B4A">
                <w:t>0,5 mm</w:t>
              </w:r>
            </w:smartTag>
          </w:p>
        </w:tc>
        <w:tc>
          <w:tcPr>
            <w:tcW w:w="1134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PN-EN-1429</w:t>
            </w:r>
          </w:p>
        </w:tc>
        <w:tc>
          <w:tcPr>
            <w:tcW w:w="709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%(m/m)</w:t>
            </w:r>
          </w:p>
        </w:tc>
        <w:tc>
          <w:tcPr>
            <w:tcW w:w="850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1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rPr>
                <w:lang w:val="en-US"/>
              </w:rPr>
              <w:t>TBR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1</w:t>
            </w:r>
          </w:p>
        </w:tc>
        <w:tc>
          <w:tcPr>
            <w:tcW w:w="847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rPr>
                <w:lang w:val="en-US"/>
              </w:rPr>
              <w:t>TBR</w:t>
            </w: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en-US"/>
              </w:rPr>
            </w:pPr>
            <w:r w:rsidRPr="00FA4B4A">
              <w:rPr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en-US"/>
              </w:rPr>
            </w:pPr>
            <w:r w:rsidRPr="00FA4B4A">
              <w:rPr>
                <w:lang w:val="en-US"/>
              </w:rPr>
              <w:t>≤0,2</w:t>
            </w:r>
          </w:p>
        </w:tc>
      </w:tr>
      <w:tr w:rsidR="00FA4B4A" w:rsidRPr="00FA4B4A" w:rsidTr="00630248">
        <w:trPr>
          <w:jc w:val="center"/>
        </w:trPr>
        <w:tc>
          <w:tcPr>
            <w:tcW w:w="496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lastRenderedPageBreak/>
              <w:t>5.</w:t>
            </w:r>
          </w:p>
        </w:tc>
        <w:tc>
          <w:tcPr>
            <w:tcW w:w="2126" w:type="dxa"/>
            <w:vAlign w:val="center"/>
          </w:tcPr>
          <w:p w:rsidR="00626697" w:rsidRPr="00FA4B4A" w:rsidRDefault="00626697" w:rsidP="00D32784">
            <w:pPr>
              <w:spacing w:before="0"/>
            </w:pPr>
            <w:r w:rsidRPr="00FA4B4A">
              <w:t>Trwałość po 7 dniach magazynowania</w:t>
            </w:r>
          </w:p>
        </w:tc>
        <w:tc>
          <w:tcPr>
            <w:tcW w:w="1134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PN-EN-1429</w:t>
            </w:r>
          </w:p>
        </w:tc>
        <w:tc>
          <w:tcPr>
            <w:tcW w:w="709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%(m/m)</w:t>
            </w:r>
          </w:p>
        </w:tc>
        <w:tc>
          <w:tcPr>
            <w:tcW w:w="850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1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rPr>
                <w:lang w:val="en-US"/>
              </w:rPr>
              <w:t>TBR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1</w:t>
            </w:r>
          </w:p>
        </w:tc>
        <w:tc>
          <w:tcPr>
            <w:tcW w:w="847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rPr>
                <w:lang w:val="en-US"/>
              </w:rPr>
              <w:t>TBR</w:t>
            </w: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en-US"/>
              </w:rPr>
            </w:pPr>
            <w:r w:rsidRPr="00FA4B4A">
              <w:rPr>
                <w:lang w:val="en-US"/>
              </w:rPr>
              <w:t>3</w:t>
            </w: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en-US"/>
              </w:rPr>
            </w:pPr>
            <w:r w:rsidRPr="00FA4B4A">
              <w:rPr>
                <w:lang w:val="en-US"/>
              </w:rPr>
              <w:t>≤0,2</w:t>
            </w:r>
          </w:p>
        </w:tc>
      </w:tr>
      <w:tr w:rsidR="00FA4B4A" w:rsidRPr="00FA4B4A" w:rsidTr="00630248">
        <w:trPr>
          <w:jc w:val="center"/>
        </w:trPr>
        <w:tc>
          <w:tcPr>
            <w:tcW w:w="496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6.</w:t>
            </w:r>
          </w:p>
        </w:tc>
        <w:tc>
          <w:tcPr>
            <w:tcW w:w="2126" w:type="dxa"/>
            <w:vAlign w:val="center"/>
          </w:tcPr>
          <w:p w:rsidR="00626697" w:rsidRPr="00FA4B4A" w:rsidRDefault="00626697" w:rsidP="00D32784">
            <w:pPr>
              <w:spacing w:before="0"/>
            </w:pPr>
            <w:r w:rsidRPr="00FA4B4A">
              <w:t>Sedymentacja</w:t>
            </w:r>
          </w:p>
        </w:tc>
        <w:tc>
          <w:tcPr>
            <w:tcW w:w="1134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PN-EN-12847</w:t>
            </w:r>
          </w:p>
        </w:tc>
        <w:tc>
          <w:tcPr>
            <w:tcW w:w="709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%(m/m)</w:t>
            </w:r>
          </w:p>
        </w:tc>
        <w:tc>
          <w:tcPr>
            <w:tcW w:w="850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1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rPr>
                <w:lang w:val="en-US"/>
              </w:rPr>
              <w:t>TBR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1</w:t>
            </w:r>
          </w:p>
        </w:tc>
        <w:tc>
          <w:tcPr>
            <w:tcW w:w="847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rPr>
                <w:lang w:val="en-US"/>
              </w:rPr>
              <w:t>TBR</w:t>
            </w: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0</w:t>
            </w: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NR</w:t>
            </w:r>
            <w:r w:rsidRPr="00FA4B4A">
              <w:rPr>
                <w:vertAlign w:val="superscript"/>
              </w:rPr>
              <w:t>a</w:t>
            </w:r>
          </w:p>
        </w:tc>
      </w:tr>
      <w:tr w:rsidR="00FA4B4A" w:rsidRPr="00FA4B4A" w:rsidTr="00630248">
        <w:trPr>
          <w:jc w:val="center"/>
        </w:trPr>
        <w:tc>
          <w:tcPr>
            <w:tcW w:w="496" w:type="dxa"/>
            <w:vAlign w:val="center"/>
          </w:tcPr>
          <w:p w:rsidR="00095097" w:rsidRPr="00FA4B4A" w:rsidRDefault="000950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7.</w:t>
            </w:r>
          </w:p>
        </w:tc>
        <w:tc>
          <w:tcPr>
            <w:tcW w:w="9355" w:type="dxa"/>
            <w:gridSpan w:val="9"/>
            <w:vAlign w:val="center"/>
          </w:tcPr>
          <w:p w:rsidR="00095097" w:rsidRPr="00FA4B4A" w:rsidRDefault="00095097" w:rsidP="00D32784">
            <w:pPr>
              <w:spacing w:before="0"/>
              <w:jc w:val="center"/>
            </w:pPr>
            <w:r w:rsidRPr="00FA4B4A">
              <w:t>Wymagania dotyczące lepiszczy odzyskanych z kationowych emulsji asfaltowych przez odparowanie, zgodnie z PN-EN 13074</w:t>
            </w:r>
          </w:p>
        </w:tc>
      </w:tr>
      <w:tr w:rsidR="00FA4B4A" w:rsidRPr="00FA4B4A" w:rsidTr="00630248">
        <w:trPr>
          <w:jc w:val="center"/>
        </w:trPr>
        <w:tc>
          <w:tcPr>
            <w:tcW w:w="496" w:type="dxa"/>
            <w:vAlign w:val="center"/>
          </w:tcPr>
          <w:p w:rsidR="00626697" w:rsidRPr="00FA4B4A" w:rsidRDefault="00095097" w:rsidP="00D32784">
            <w:pPr>
              <w:spacing w:before="0"/>
              <w:jc w:val="center"/>
            </w:pPr>
            <w:r w:rsidRPr="00FA4B4A">
              <w:t>8</w:t>
            </w:r>
            <w:r w:rsidR="00626697" w:rsidRPr="00FA4B4A">
              <w:t>.</w:t>
            </w:r>
          </w:p>
        </w:tc>
        <w:tc>
          <w:tcPr>
            <w:tcW w:w="2126" w:type="dxa"/>
            <w:vAlign w:val="center"/>
          </w:tcPr>
          <w:p w:rsidR="00626697" w:rsidRPr="00FA4B4A" w:rsidRDefault="00626697" w:rsidP="00D32784">
            <w:pPr>
              <w:spacing w:before="0"/>
            </w:pPr>
            <w:r w:rsidRPr="00FA4B4A">
              <w:t xml:space="preserve">Penetracja w 25 </w:t>
            </w:r>
            <w:r w:rsidRPr="00FA4B4A">
              <w:rPr>
                <w:vertAlign w:val="superscript"/>
              </w:rPr>
              <w:t>o</w:t>
            </w:r>
            <w:r w:rsidRPr="00FA4B4A">
              <w:t>c.</w:t>
            </w:r>
          </w:p>
        </w:tc>
        <w:tc>
          <w:tcPr>
            <w:tcW w:w="1134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r w:rsidRPr="00FA4B4A">
              <w:rPr>
                <w:lang w:val="de-DE"/>
              </w:rPr>
              <w:t>PN-EN-1426</w:t>
            </w:r>
          </w:p>
        </w:tc>
        <w:tc>
          <w:tcPr>
            <w:tcW w:w="709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lang w:val="de-DE"/>
              </w:rPr>
            </w:pPr>
            <w:smartTag w:uri="urn:schemas-microsoft-com:office:smarttags" w:element="metricconverter">
              <w:smartTagPr>
                <w:attr w:name="ProductID" w:val="0,1 mm"/>
              </w:smartTagPr>
              <w:r w:rsidRPr="00FA4B4A">
                <w:rPr>
                  <w:lang w:val="de-DE"/>
                </w:rPr>
                <w:t>0,1 mm</w:t>
              </w:r>
            </w:smartTag>
          </w:p>
        </w:tc>
        <w:tc>
          <w:tcPr>
            <w:tcW w:w="850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3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  <w:rPr>
                <w:vertAlign w:val="superscript"/>
              </w:rPr>
            </w:pPr>
            <w:r w:rsidRPr="00FA4B4A">
              <w:t>≤100</w:t>
            </w:r>
            <w:r w:rsidRPr="00FA4B4A">
              <w:rPr>
                <w:vertAlign w:val="superscript"/>
              </w:rPr>
              <w:t>e)</w:t>
            </w:r>
          </w:p>
        </w:tc>
        <w:tc>
          <w:tcPr>
            <w:tcW w:w="923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3</w:t>
            </w:r>
          </w:p>
        </w:tc>
        <w:tc>
          <w:tcPr>
            <w:tcW w:w="847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≤100</w:t>
            </w:r>
            <w:r w:rsidRPr="00FA4B4A">
              <w:rPr>
                <w:vertAlign w:val="superscript"/>
              </w:rPr>
              <w:t xml:space="preserve"> e)</w:t>
            </w: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rPr>
                <w:lang w:val="en-US"/>
              </w:rPr>
              <w:t>0</w:t>
            </w: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spacing w:before="0"/>
              <w:jc w:val="center"/>
            </w:pPr>
            <w:r w:rsidRPr="00FA4B4A">
              <w:t>NR</w:t>
            </w:r>
            <w:r w:rsidRPr="00FA4B4A">
              <w:rPr>
                <w:vertAlign w:val="superscript"/>
              </w:rPr>
              <w:t>a</w:t>
            </w:r>
          </w:p>
        </w:tc>
      </w:tr>
      <w:tr w:rsidR="00630248" w:rsidRPr="00FA4B4A" w:rsidTr="00630248">
        <w:trPr>
          <w:jc w:val="center"/>
        </w:trPr>
        <w:tc>
          <w:tcPr>
            <w:tcW w:w="8008" w:type="dxa"/>
            <w:gridSpan w:val="8"/>
            <w:vAlign w:val="center"/>
          </w:tcPr>
          <w:p w:rsidR="00626697" w:rsidRPr="00FA4B4A" w:rsidRDefault="00626697" w:rsidP="00D32784">
            <w:pPr>
              <w:numPr>
                <w:ilvl w:val="0"/>
                <w:numId w:val="14"/>
              </w:numPr>
              <w:spacing w:before="0"/>
              <w:jc w:val="left"/>
              <w:rPr>
                <w:sz w:val="16"/>
              </w:rPr>
            </w:pPr>
            <w:r w:rsidRPr="00FA4B4A">
              <w:rPr>
                <w:sz w:val="16"/>
              </w:rPr>
              <w:t>Emulsję można rozcieńczać z wodą, do stężenia asfaltu nie niższego niż 40%(m/m).</w:t>
            </w:r>
          </w:p>
          <w:p w:rsidR="00626697" w:rsidRPr="00FA4B4A" w:rsidRDefault="00626697" w:rsidP="00D32784">
            <w:pPr>
              <w:numPr>
                <w:ilvl w:val="0"/>
                <w:numId w:val="14"/>
              </w:numPr>
              <w:spacing w:before="0"/>
              <w:jc w:val="left"/>
              <w:rPr>
                <w:sz w:val="16"/>
              </w:rPr>
            </w:pPr>
            <w:r w:rsidRPr="00FA4B4A">
              <w:rPr>
                <w:sz w:val="16"/>
              </w:rPr>
              <w:t xml:space="preserve">Nie </w:t>
            </w:r>
            <w:r w:rsidR="00FA4B4A" w:rsidRPr="00FA4B4A">
              <w:rPr>
                <w:sz w:val="16"/>
              </w:rPr>
              <w:t>dotyczy emulsji</w:t>
            </w:r>
            <w:r w:rsidRPr="00FA4B4A">
              <w:rPr>
                <w:sz w:val="16"/>
              </w:rPr>
              <w:t xml:space="preserve"> rozcieńczanych wodą </w:t>
            </w:r>
            <w:r w:rsidR="00FA4B4A" w:rsidRPr="00FA4B4A">
              <w:rPr>
                <w:sz w:val="16"/>
              </w:rPr>
              <w:t>na budowie</w:t>
            </w:r>
            <w:r w:rsidRPr="00FA4B4A">
              <w:rPr>
                <w:sz w:val="16"/>
              </w:rPr>
              <w:t>.</w:t>
            </w:r>
          </w:p>
          <w:p w:rsidR="00626697" w:rsidRPr="00FA4B4A" w:rsidRDefault="00626697" w:rsidP="00D32784">
            <w:pPr>
              <w:numPr>
                <w:ilvl w:val="0"/>
                <w:numId w:val="14"/>
              </w:numPr>
              <w:spacing w:before="0"/>
              <w:jc w:val="left"/>
              <w:rPr>
                <w:sz w:val="16"/>
              </w:rPr>
            </w:pPr>
            <w:r w:rsidRPr="00FA4B4A">
              <w:rPr>
                <w:sz w:val="16"/>
              </w:rPr>
              <w:t>Oznaczenie jest wymagane, gdy emulsja ma bezpośredni kontakt z kruszywem.</w:t>
            </w:r>
          </w:p>
          <w:p w:rsidR="00626697" w:rsidRPr="00FA4B4A" w:rsidRDefault="00626697" w:rsidP="00D32784">
            <w:pPr>
              <w:numPr>
                <w:ilvl w:val="0"/>
                <w:numId w:val="14"/>
              </w:numPr>
              <w:spacing w:before="0"/>
              <w:jc w:val="left"/>
              <w:rPr>
                <w:sz w:val="16"/>
              </w:rPr>
            </w:pPr>
            <w:r w:rsidRPr="00FA4B4A">
              <w:rPr>
                <w:sz w:val="16"/>
              </w:rPr>
              <w:t>Dotyczy emulsji przeznaczonej do związania warstwy asfaltowej z podbudową zawierającą spoiwo hydrauliczne.</w:t>
            </w:r>
          </w:p>
          <w:p w:rsidR="00626697" w:rsidRPr="00FA4B4A" w:rsidRDefault="00626697" w:rsidP="00D32784">
            <w:pPr>
              <w:numPr>
                <w:ilvl w:val="0"/>
                <w:numId w:val="14"/>
              </w:numPr>
              <w:spacing w:before="0"/>
              <w:jc w:val="left"/>
              <w:rPr>
                <w:sz w:val="16"/>
              </w:rPr>
            </w:pPr>
            <w:r w:rsidRPr="00FA4B4A">
              <w:rPr>
                <w:sz w:val="16"/>
              </w:rPr>
              <w:t>Do skropienia podbudów niezwiązanych, w szczególności z kruszywa stabilizowanego mechanicznie lub tłucznia kamiennego, dopuszcza się stosowanie emulsji wyprodukowanych z asfaltu drogowego o penetracji 160/220</w:t>
            </w:r>
          </w:p>
          <w:p w:rsidR="00626697" w:rsidRPr="00FA4B4A" w:rsidRDefault="00626697" w:rsidP="00D32784">
            <w:pPr>
              <w:spacing w:before="0"/>
              <w:ind w:left="360"/>
            </w:pPr>
          </w:p>
        </w:tc>
        <w:tc>
          <w:tcPr>
            <w:tcW w:w="992" w:type="dxa"/>
            <w:vAlign w:val="center"/>
          </w:tcPr>
          <w:p w:rsidR="00626697" w:rsidRPr="00FA4B4A" w:rsidRDefault="00626697" w:rsidP="00D32784">
            <w:pPr>
              <w:numPr>
                <w:ilvl w:val="0"/>
                <w:numId w:val="14"/>
              </w:numPr>
              <w:spacing w:before="0"/>
              <w:jc w:val="left"/>
              <w:rPr>
                <w:sz w:val="16"/>
              </w:rPr>
            </w:pPr>
          </w:p>
        </w:tc>
        <w:tc>
          <w:tcPr>
            <w:tcW w:w="851" w:type="dxa"/>
            <w:vAlign w:val="center"/>
          </w:tcPr>
          <w:p w:rsidR="00626697" w:rsidRPr="00FA4B4A" w:rsidRDefault="00626697" w:rsidP="00D32784">
            <w:pPr>
              <w:numPr>
                <w:ilvl w:val="0"/>
                <w:numId w:val="14"/>
              </w:numPr>
              <w:spacing w:before="0"/>
              <w:jc w:val="left"/>
              <w:rPr>
                <w:sz w:val="16"/>
              </w:rPr>
            </w:pPr>
          </w:p>
        </w:tc>
      </w:tr>
    </w:tbl>
    <w:p w:rsidR="009F5B45" w:rsidRPr="00FA4B4A" w:rsidRDefault="009F5B45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23" w:name="_Toc407069670"/>
      <w:bookmarkStart w:id="24" w:name="_Toc407081635"/>
      <w:bookmarkStart w:id="25" w:name="_Toc407081778"/>
      <w:bookmarkStart w:id="26" w:name="_Toc407083434"/>
      <w:bookmarkStart w:id="27" w:name="_Toc407084268"/>
      <w:bookmarkStart w:id="28" w:name="_Toc407085387"/>
      <w:bookmarkStart w:id="29" w:name="_Toc407085530"/>
      <w:bookmarkStart w:id="30" w:name="_Toc407085673"/>
      <w:bookmarkStart w:id="31" w:name="_Toc407086121"/>
      <w:bookmarkStart w:id="32" w:name="_Toc11653863"/>
      <w:r w:rsidRPr="00FA4B4A">
        <w:rPr>
          <w:szCs w:val="18"/>
        </w:rPr>
        <w:t>Połączenia międzywarstwowe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9F5B45" w:rsidRPr="00FA4B4A" w:rsidRDefault="009F5B45" w:rsidP="00FA4B4A">
      <w:pPr>
        <w:widowControl w:val="0"/>
        <w:suppressLineNumbers/>
        <w:suppressAutoHyphens/>
        <w:spacing w:before="240"/>
        <w:rPr>
          <w:szCs w:val="18"/>
        </w:rPr>
      </w:pPr>
      <w:r w:rsidRPr="00FA4B4A">
        <w:rPr>
          <w:szCs w:val="18"/>
        </w:rPr>
        <w:t>Zalecane ilości pozostałego lepiszcza do skropienia podano w tabeli poniżej: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4437"/>
        <w:gridCol w:w="1705"/>
      </w:tblGrid>
      <w:tr w:rsidR="00FA4B4A" w:rsidRPr="00FA4B4A" w:rsidTr="009F5B45">
        <w:trPr>
          <w:trHeight w:val="212"/>
          <w:tblHeader/>
          <w:jc w:val="center"/>
        </w:trPr>
        <w:tc>
          <w:tcPr>
            <w:tcW w:w="3071" w:type="dxa"/>
            <w:vAlign w:val="center"/>
          </w:tcPr>
          <w:p w:rsidR="009F5B45" w:rsidRPr="00FA4B4A" w:rsidRDefault="009F5B45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Układana warstwa asfaltowa</w:t>
            </w:r>
          </w:p>
        </w:tc>
        <w:tc>
          <w:tcPr>
            <w:tcW w:w="4437" w:type="dxa"/>
            <w:vAlign w:val="center"/>
          </w:tcPr>
          <w:p w:rsidR="009F5B45" w:rsidRPr="00FA4B4A" w:rsidRDefault="009F5B45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Podłoże pod warstwę asfaltową</w:t>
            </w:r>
          </w:p>
        </w:tc>
        <w:tc>
          <w:tcPr>
            <w:tcW w:w="1705" w:type="dxa"/>
            <w:vAlign w:val="center"/>
          </w:tcPr>
          <w:p w:rsidR="009F5B45" w:rsidRPr="00FA4B4A" w:rsidRDefault="009F5B45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Ilość pozostałego lepiszcza [kg/m</w:t>
            </w:r>
            <w:r w:rsidRPr="00FA4B4A">
              <w:rPr>
                <w:szCs w:val="18"/>
                <w:vertAlign w:val="superscript"/>
              </w:rPr>
              <w:t>2</w:t>
            </w:r>
            <w:r w:rsidRPr="00FA4B4A">
              <w:rPr>
                <w:szCs w:val="18"/>
              </w:rPr>
              <w:t>]</w:t>
            </w:r>
          </w:p>
        </w:tc>
      </w:tr>
      <w:tr w:rsidR="00FA4B4A" w:rsidRPr="00FA4B4A" w:rsidTr="00EE29A0">
        <w:trPr>
          <w:jc w:val="center"/>
        </w:trPr>
        <w:tc>
          <w:tcPr>
            <w:tcW w:w="3071" w:type="dxa"/>
            <w:vMerge w:val="restart"/>
            <w:vAlign w:val="center"/>
          </w:tcPr>
          <w:p w:rsidR="009F5B45" w:rsidRPr="00FA4B4A" w:rsidRDefault="009F5B45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Podbudowa z betonu asfaltowego AC</w:t>
            </w:r>
          </w:p>
        </w:tc>
        <w:tc>
          <w:tcPr>
            <w:tcW w:w="4437" w:type="dxa"/>
            <w:vAlign w:val="center"/>
          </w:tcPr>
          <w:p w:rsidR="009F5B45" w:rsidRPr="00FA4B4A" w:rsidRDefault="009F5B45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Podbudowa z kruszywa stabilizowanego mechanicznie</w:t>
            </w:r>
          </w:p>
        </w:tc>
        <w:tc>
          <w:tcPr>
            <w:tcW w:w="1705" w:type="dxa"/>
            <w:vAlign w:val="center"/>
          </w:tcPr>
          <w:p w:rsidR="009F5B45" w:rsidRPr="00FA4B4A" w:rsidRDefault="009F5B45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0,5 ÷ 0,7</w:t>
            </w:r>
          </w:p>
        </w:tc>
      </w:tr>
      <w:tr w:rsidR="00FA4B4A" w:rsidRPr="00FA4B4A" w:rsidTr="00EE29A0">
        <w:trPr>
          <w:jc w:val="center"/>
        </w:trPr>
        <w:tc>
          <w:tcPr>
            <w:tcW w:w="3071" w:type="dxa"/>
            <w:vMerge/>
            <w:vAlign w:val="center"/>
          </w:tcPr>
          <w:p w:rsidR="009F5B45" w:rsidRPr="00FA4B4A" w:rsidRDefault="009F5B45" w:rsidP="00630248">
            <w:pPr>
              <w:spacing w:before="0"/>
              <w:jc w:val="left"/>
              <w:rPr>
                <w:szCs w:val="18"/>
              </w:rPr>
            </w:pPr>
          </w:p>
        </w:tc>
        <w:tc>
          <w:tcPr>
            <w:tcW w:w="4437" w:type="dxa"/>
            <w:vAlign w:val="center"/>
          </w:tcPr>
          <w:p w:rsidR="009F5B45" w:rsidRPr="00FA4B4A" w:rsidRDefault="009F5B45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Nawierzchnia asfaltowa o chropowatej powierzchni</w:t>
            </w:r>
          </w:p>
        </w:tc>
        <w:tc>
          <w:tcPr>
            <w:tcW w:w="1705" w:type="dxa"/>
            <w:vAlign w:val="center"/>
          </w:tcPr>
          <w:p w:rsidR="009F5B45" w:rsidRPr="00FA4B4A" w:rsidRDefault="009F5B45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0,2 ÷ 0,5</w:t>
            </w:r>
          </w:p>
        </w:tc>
      </w:tr>
      <w:tr w:rsidR="00FA4B4A" w:rsidRPr="00FA4B4A" w:rsidTr="00EE29A0">
        <w:trPr>
          <w:jc w:val="center"/>
        </w:trPr>
        <w:tc>
          <w:tcPr>
            <w:tcW w:w="3071" w:type="dxa"/>
            <w:vMerge w:val="restart"/>
            <w:vAlign w:val="center"/>
          </w:tcPr>
          <w:p w:rsidR="00311368" w:rsidRPr="00FA4B4A" w:rsidRDefault="00311368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Warstwa wiążąca z betonu asfaltowego AC</w:t>
            </w:r>
          </w:p>
        </w:tc>
        <w:tc>
          <w:tcPr>
            <w:tcW w:w="4437" w:type="dxa"/>
            <w:vAlign w:val="center"/>
          </w:tcPr>
          <w:p w:rsidR="00311368" w:rsidRPr="00FA4B4A" w:rsidRDefault="00311368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Podbudowa asfaltowa</w:t>
            </w:r>
          </w:p>
        </w:tc>
        <w:tc>
          <w:tcPr>
            <w:tcW w:w="1705" w:type="dxa"/>
            <w:vAlign w:val="center"/>
          </w:tcPr>
          <w:p w:rsidR="00311368" w:rsidRPr="00FA4B4A" w:rsidRDefault="00311368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0,3 ÷ 0,5</w:t>
            </w:r>
          </w:p>
        </w:tc>
      </w:tr>
      <w:tr w:rsidR="00FA4B4A" w:rsidRPr="00FA4B4A" w:rsidTr="00EE29A0">
        <w:trPr>
          <w:jc w:val="center"/>
        </w:trPr>
        <w:tc>
          <w:tcPr>
            <w:tcW w:w="3071" w:type="dxa"/>
            <w:vMerge/>
            <w:vAlign w:val="center"/>
          </w:tcPr>
          <w:p w:rsidR="00311368" w:rsidRPr="00FA4B4A" w:rsidRDefault="00311368" w:rsidP="00630248">
            <w:pPr>
              <w:spacing w:before="0"/>
              <w:jc w:val="left"/>
              <w:rPr>
                <w:szCs w:val="18"/>
              </w:rPr>
            </w:pPr>
          </w:p>
        </w:tc>
        <w:tc>
          <w:tcPr>
            <w:tcW w:w="4437" w:type="dxa"/>
            <w:vAlign w:val="center"/>
          </w:tcPr>
          <w:p w:rsidR="00311368" w:rsidRPr="00FA4B4A" w:rsidRDefault="00311368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Podbudowa z gruntu stabilizowanego cementem</w:t>
            </w:r>
          </w:p>
        </w:tc>
        <w:tc>
          <w:tcPr>
            <w:tcW w:w="1705" w:type="dxa"/>
            <w:vAlign w:val="center"/>
          </w:tcPr>
          <w:p w:rsidR="00311368" w:rsidRPr="00FA4B4A" w:rsidRDefault="00C55B38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0,3 ÷ 0,5</w:t>
            </w:r>
          </w:p>
        </w:tc>
      </w:tr>
      <w:tr w:rsidR="00FA4B4A" w:rsidRPr="00FA4B4A" w:rsidTr="00EE29A0">
        <w:trPr>
          <w:jc w:val="center"/>
        </w:trPr>
        <w:tc>
          <w:tcPr>
            <w:tcW w:w="3071" w:type="dxa"/>
            <w:vAlign w:val="center"/>
          </w:tcPr>
          <w:p w:rsidR="009F5B45" w:rsidRPr="00FA4B4A" w:rsidRDefault="009F5B45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Warstwa ścieralna z betonu asfaltowego AC</w:t>
            </w:r>
          </w:p>
        </w:tc>
        <w:tc>
          <w:tcPr>
            <w:tcW w:w="4437" w:type="dxa"/>
            <w:vAlign w:val="center"/>
          </w:tcPr>
          <w:p w:rsidR="009F5B45" w:rsidRPr="00FA4B4A" w:rsidRDefault="009F5B45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Warstwa wiążąca asfaltowa</w:t>
            </w:r>
          </w:p>
        </w:tc>
        <w:tc>
          <w:tcPr>
            <w:tcW w:w="1705" w:type="dxa"/>
            <w:vAlign w:val="center"/>
          </w:tcPr>
          <w:p w:rsidR="009F5B45" w:rsidRPr="00FA4B4A" w:rsidRDefault="009F5B45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0,1 ÷ 0,3</w:t>
            </w:r>
          </w:p>
        </w:tc>
      </w:tr>
      <w:tr w:rsidR="00FA4B4A" w:rsidRPr="00FA4B4A" w:rsidTr="00EE29A0">
        <w:trPr>
          <w:jc w:val="center"/>
        </w:trPr>
        <w:tc>
          <w:tcPr>
            <w:tcW w:w="3071" w:type="dxa"/>
            <w:vAlign w:val="center"/>
          </w:tcPr>
          <w:p w:rsidR="009F5B45" w:rsidRPr="00FA4B4A" w:rsidRDefault="009F5B45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Warstwa ścieralna z mieszanki SMA</w:t>
            </w:r>
          </w:p>
        </w:tc>
        <w:tc>
          <w:tcPr>
            <w:tcW w:w="4437" w:type="dxa"/>
            <w:vAlign w:val="center"/>
          </w:tcPr>
          <w:p w:rsidR="009F5B45" w:rsidRPr="00FA4B4A" w:rsidRDefault="009F5B45" w:rsidP="00630248">
            <w:pPr>
              <w:spacing w:before="0"/>
              <w:jc w:val="left"/>
              <w:rPr>
                <w:szCs w:val="18"/>
              </w:rPr>
            </w:pPr>
            <w:r w:rsidRPr="00FA4B4A">
              <w:rPr>
                <w:szCs w:val="18"/>
              </w:rPr>
              <w:t>Warstwa wiążąca asfaltowa</w:t>
            </w:r>
          </w:p>
        </w:tc>
        <w:tc>
          <w:tcPr>
            <w:tcW w:w="1705" w:type="dxa"/>
            <w:vAlign w:val="center"/>
          </w:tcPr>
          <w:p w:rsidR="009F5B45" w:rsidRPr="00FA4B4A" w:rsidRDefault="009F5B45" w:rsidP="00630248">
            <w:pPr>
              <w:spacing w:before="0"/>
              <w:jc w:val="center"/>
              <w:rPr>
                <w:szCs w:val="18"/>
              </w:rPr>
            </w:pPr>
            <w:r w:rsidRPr="00FA4B4A">
              <w:rPr>
                <w:szCs w:val="18"/>
              </w:rPr>
              <w:t>0,1 ÷ 0,3</w:t>
            </w:r>
          </w:p>
        </w:tc>
      </w:tr>
    </w:tbl>
    <w:p w:rsidR="009F5B45" w:rsidRPr="00FA4B4A" w:rsidRDefault="009F5B45" w:rsidP="00A46FF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Powyżej podane ilość są ilościami przybliżonymi, a dokładne zużycie lepiszczy powinno być ustalone na odcinku próbnym w zależności od rodzaju warstwy, jej faktury i stanu powierzchni oraz zaakceptowane przez </w:t>
      </w:r>
      <w:r w:rsidR="00054F8A" w:rsidRPr="00FA4B4A">
        <w:rPr>
          <w:szCs w:val="18"/>
        </w:rPr>
        <w:t>Inwestor</w:t>
      </w:r>
      <w:r w:rsidRPr="00FA4B4A">
        <w:rPr>
          <w:szCs w:val="18"/>
        </w:rPr>
        <w:t>a.</w:t>
      </w:r>
      <w:r w:rsidR="00A46FF8" w:rsidRPr="00FA4B4A">
        <w:rPr>
          <w:szCs w:val="18"/>
        </w:rPr>
        <w:t xml:space="preserve"> Dopuszcza się zmniejszenie dozowanego lepiszcza po uprzednim wykonaniu poletka próbnego i sprawdzeniu wytrzymałości na ścinanie połączenia między warstwami (szczepność).</w:t>
      </w:r>
    </w:p>
    <w:p w:rsidR="00BB782C" w:rsidRPr="00FA4B4A" w:rsidRDefault="00BB782C" w:rsidP="00CF57C8">
      <w:pPr>
        <w:pStyle w:val="Nagwek1"/>
        <w:keepNext w:val="0"/>
        <w:widowControl w:val="0"/>
        <w:suppressLineNumbers/>
        <w:tabs>
          <w:tab w:val="left" w:pos="680"/>
        </w:tabs>
        <w:suppressAutoHyphens/>
        <w:rPr>
          <w:szCs w:val="18"/>
        </w:rPr>
      </w:pPr>
      <w:bookmarkStart w:id="33" w:name="_Toc11653864"/>
      <w:r w:rsidRPr="00FA4B4A">
        <w:rPr>
          <w:szCs w:val="18"/>
        </w:rPr>
        <w:t>SPRZĘT</w:t>
      </w:r>
      <w:bookmarkEnd w:id="33"/>
    </w:p>
    <w:p w:rsidR="009671CC" w:rsidRPr="00FA4B4A" w:rsidRDefault="009671CC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34" w:name="_Toc11653865"/>
      <w:r w:rsidRPr="00FA4B4A">
        <w:rPr>
          <w:szCs w:val="18"/>
        </w:rPr>
        <w:t>Ogólne wymagania dotyczące sprzętu</w:t>
      </w:r>
      <w:bookmarkEnd w:id="34"/>
    </w:p>
    <w:p w:rsidR="009671CC" w:rsidRPr="00FA4B4A" w:rsidRDefault="009671CC" w:rsidP="00CF57C8">
      <w:pPr>
        <w:widowControl w:val="0"/>
        <w:suppressLineNumbers/>
        <w:suppressAutoHyphens/>
        <w:spacing w:before="120"/>
        <w:rPr>
          <w:szCs w:val="18"/>
        </w:rPr>
      </w:pPr>
      <w:r w:rsidRPr="00FA4B4A">
        <w:rPr>
          <w:szCs w:val="18"/>
        </w:rPr>
        <w:t>Ogólne wymagania dotyczące sprzętu podano w STWiORB D-M-00.00.00 „Wymagania ogólne dla robót” pkt. 3.</w:t>
      </w:r>
    </w:p>
    <w:p w:rsidR="009C2D0D" w:rsidRPr="00FA4B4A" w:rsidRDefault="009C2D0D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35" w:name="_Toc11653866"/>
      <w:r w:rsidRPr="00FA4B4A">
        <w:rPr>
          <w:szCs w:val="18"/>
        </w:rPr>
        <w:t>Sprzęt do wykonania robót</w:t>
      </w:r>
      <w:bookmarkEnd w:id="35"/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Do oczyszczania warstw nawierzchni należy</w:t>
      </w:r>
      <w:r w:rsidR="002A06DC" w:rsidRPr="00FA4B4A">
        <w:rPr>
          <w:szCs w:val="18"/>
        </w:rPr>
        <w:t xml:space="preserve"> stosować szczotki mechaniczne.</w:t>
      </w:r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Do skrapiania warstw nawierzchni należy używać skrapiarkę lepiszcza. </w:t>
      </w:r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Wykonawca jest zobowiązany do przedstawienia protokołów kalibracji skrapiarek w zakresie równomierności skrapiania i wydatku asfaltu na m2 powierzchni wg PN-EN 12272-1.</w:t>
      </w:r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Skrapiarka powinna zapewnić rozkładanie lepiszcza z tolerancją ±10% od ilości założonej. </w:t>
      </w:r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Dopuszcza się skrapianie ręczne lancą w miejscach trudno dostępnych oraz przy urządzeniach usytuowanych w nawierzchni lub ją ograniczających.</w:t>
      </w:r>
    </w:p>
    <w:p w:rsidR="00BB782C" w:rsidRPr="00FA4B4A" w:rsidRDefault="00BB782C" w:rsidP="00CF57C8">
      <w:pPr>
        <w:pStyle w:val="Nagwek1"/>
        <w:keepNext w:val="0"/>
        <w:widowControl w:val="0"/>
        <w:suppressLineNumbers/>
        <w:tabs>
          <w:tab w:val="left" w:pos="680"/>
        </w:tabs>
        <w:suppressAutoHyphens/>
        <w:rPr>
          <w:szCs w:val="18"/>
        </w:rPr>
      </w:pPr>
      <w:bookmarkStart w:id="36" w:name="_Toc11653867"/>
      <w:r w:rsidRPr="00FA4B4A">
        <w:rPr>
          <w:szCs w:val="18"/>
        </w:rPr>
        <w:t>TRANSPORT</w:t>
      </w:r>
      <w:bookmarkEnd w:id="36"/>
    </w:p>
    <w:p w:rsidR="00BB782C" w:rsidRPr="00FA4B4A" w:rsidRDefault="00BB782C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37" w:name="_Toc405274769"/>
      <w:bookmarkStart w:id="38" w:name="_Toc11653868"/>
      <w:r w:rsidRPr="00FA4B4A">
        <w:rPr>
          <w:szCs w:val="18"/>
        </w:rPr>
        <w:t>Ogólne wymagania dotyczące transportu</w:t>
      </w:r>
      <w:bookmarkEnd w:id="37"/>
      <w:bookmarkEnd w:id="38"/>
    </w:p>
    <w:p w:rsidR="00BB782C" w:rsidRPr="00FA4B4A" w:rsidRDefault="00BB782C" w:rsidP="00CF57C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Ogólne wymagania dotyczące transportu podano w </w:t>
      </w:r>
      <w:r w:rsidR="00D819E4" w:rsidRPr="00FA4B4A">
        <w:rPr>
          <w:szCs w:val="18"/>
        </w:rPr>
        <w:t>STWiORB</w:t>
      </w:r>
      <w:r w:rsidRPr="00FA4B4A">
        <w:rPr>
          <w:szCs w:val="18"/>
        </w:rPr>
        <w:t xml:space="preserve"> </w:t>
      </w:r>
      <w:r w:rsidR="009671CC" w:rsidRPr="00FA4B4A">
        <w:rPr>
          <w:szCs w:val="18"/>
        </w:rPr>
        <w:t xml:space="preserve">D-M-00.00.00 „Wymagania ogólne dla robót” </w:t>
      </w:r>
      <w:r w:rsidRPr="00FA4B4A">
        <w:rPr>
          <w:szCs w:val="18"/>
        </w:rPr>
        <w:t>p</w:t>
      </w:r>
      <w:r w:rsidR="009671CC" w:rsidRPr="00FA4B4A">
        <w:rPr>
          <w:szCs w:val="18"/>
        </w:rPr>
        <w:t>kt</w:t>
      </w:r>
      <w:r w:rsidRPr="00FA4B4A">
        <w:rPr>
          <w:szCs w:val="18"/>
        </w:rPr>
        <w:t>.4.</w:t>
      </w:r>
    </w:p>
    <w:p w:rsidR="009C2D0D" w:rsidRPr="00FA4B4A" w:rsidRDefault="009C2D0D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39" w:name="_Toc11653869"/>
      <w:r w:rsidRPr="00FA4B4A">
        <w:rPr>
          <w:szCs w:val="18"/>
        </w:rPr>
        <w:t>Transport materiałów</w:t>
      </w:r>
      <w:bookmarkEnd w:id="39"/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</w:t>
      </w:r>
    </w:p>
    <w:p w:rsidR="00BB782C" w:rsidRPr="00FA4B4A" w:rsidRDefault="00BB782C" w:rsidP="00CF57C8">
      <w:pPr>
        <w:pStyle w:val="Nagwek1"/>
        <w:keepNext w:val="0"/>
        <w:widowControl w:val="0"/>
        <w:suppressLineNumbers/>
        <w:tabs>
          <w:tab w:val="left" w:pos="680"/>
        </w:tabs>
        <w:suppressAutoHyphens/>
        <w:rPr>
          <w:szCs w:val="18"/>
        </w:rPr>
      </w:pPr>
      <w:bookmarkStart w:id="40" w:name="_Toc11653870"/>
      <w:r w:rsidRPr="00FA4B4A">
        <w:rPr>
          <w:szCs w:val="18"/>
        </w:rPr>
        <w:t>WYKONANIE ROBÓT</w:t>
      </w:r>
      <w:bookmarkEnd w:id="40"/>
    </w:p>
    <w:p w:rsidR="009C2D0D" w:rsidRPr="00FA4B4A" w:rsidRDefault="009C2D0D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41" w:name="_Toc11653871"/>
      <w:r w:rsidRPr="00FA4B4A">
        <w:rPr>
          <w:szCs w:val="18"/>
        </w:rPr>
        <w:t>Ogólne zasady wykonywania robót</w:t>
      </w:r>
      <w:bookmarkEnd w:id="41"/>
    </w:p>
    <w:p w:rsidR="00CF57C8" w:rsidRPr="00FA4B4A" w:rsidRDefault="00CF57C8" w:rsidP="00CF57C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Ogólne zasady wykonania robót podano w STWiORB D-M.00.00.00 „Wymagania ogólne dla robót” pkt.5.</w:t>
      </w:r>
    </w:p>
    <w:p w:rsidR="009F5B45" w:rsidRPr="00FA4B4A" w:rsidRDefault="009F5B45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42" w:name="_Toc11653872"/>
      <w:r w:rsidRPr="00FA4B4A">
        <w:rPr>
          <w:szCs w:val="18"/>
        </w:rPr>
        <w:t>Warunki atmosferyczne</w:t>
      </w:r>
      <w:bookmarkEnd w:id="42"/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lastRenderedPageBreak/>
        <w:t>Przed przystąpieniem do robót Wykonawca winien zapoznać się z prognozą pogody, ponieważ oczyszczona nawierzchnia przed skropieniem powinna być sucha, bez zawilgoceń. Skropienie należy wykonywać przy temperaturze powietrza minimum +5°C.</w:t>
      </w:r>
    </w:p>
    <w:p w:rsidR="009F5B45" w:rsidRPr="00FA4B4A" w:rsidRDefault="009F5B45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43" w:name="_Toc407069681"/>
      <w:bookmarkStart w:id="44" w:name="_Toc407081646"/>
      <w:bookmarkStart w:id="45" w:name="_Toc407081789"/>
      <w:bookmarkStart w:id="46" w:name="_Toc407083445"/>
      <w:bookmarkStart w:id="47" w:name="_Toc407084279"/>
      <w:bookmarkStart w:id="48" w:name="_Toc407085398"/>
      <w:bookmarkStart w:id="49" w:name="_Toc407085541"/>
      <w:bookmarkStart w:id="50" w:name="_Toc407085684"/>
      <w:bookmarkStart w:id="51" w:name="_Toc407086132"/>
      <w:bookmarkStart w:id="52" w:name="_Toc11653873"/>
      <w:r w:rsidRPr="00FA4B4A">
        <w:rPr>
          <w:szCs w:val="18"/>
        </w:rPr>
        <w:t>Oczyszczenie warstw nawierzchni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Oczyszczenie warstw nawierzchni polega na usunięciu luźnego materiału, brudu, błota i kurzu, plam oleju przy użyciu szczotek mechanicznych, a w razie potrzeby wody pod ciśnieniem. W miejscach trudno dostępnych należy używać szczotek ręcznych. W razie potrzeby, na terenach niezabudowanych, bezpośrednio przed skropieniem warstwa powinna być oczyszczona z kurzu przy użyciu sprężonego powietrza.</w:t>
      </w:r>
    </w:p>
    <w:p w:rsidR="009F5B45" w:rsidRPr="00FA4B4A" w:rsidRDefault="009F5B45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53" w:name="_Toc11653874"/>
      <w:r w:rsidRPr="00FA4B4A">
        <w:rPr>
          <w:szCs w:val="18"/>
        </w:rPr>
        <w:t>Odcinek próbny</w:t>
      </w:r>
      <w:bookmarkEnd w:id="53"/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Przed przystąpieniem do robót Wykonawca na odcinku próbnym przeprowadzi próbne skropienie warstwy w celu określenia optymalnych parametrów pracy skrapiarki i określenia wymaganej ilości emulsji na m2 w zależności od rodzaju i stanu warstwy przewidzianej do skropienia. </w:t>
      </w:r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Lokalizacja odcinka próbnego zostanie zaakceptowana przez </w:t>
      </w:r>
      <w:r w:rsidR="00054F8A" w:rsidRPr="00FA4B4A">
        <w:rPr>
          <w:szCs w:val="18"/>
        </w:rPr>
        <w:t>Inwestor</w:t>
      </w:r>
      <w:r w:rsidRPr="00FA4B4A">
        <w:rPr>
          <w:szCs w:val="18"/>
        </w:rPr>
        <w:t xml:space="preserve">a. </w:t>
      </w:r>
    </w:p>
    <w:p w:rsidR="009F5B45" w:rsidRPr="00FA4B4A" w:rsidRDefault="009F5B45" w:rsidP="009F5B4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Do wykonania odcinka próbnego, Wykonawca powinien zastosować takie same materiały oraz sprzęt, jakie będą stosowane do wykonania skropienia warstw konstrukcyjnych podczas robót. </w:t>
      </w:r>
    </w:p>
    <w:p w:rsidR="009F5B45" w:rsidRPr="00FA4B4A" w:rsidRDefault="009F5B45" w:rsidP="00FA4B4A">
      <w:pPr>
        <w:pStyle w:val="Nagwek2"/>
        <w:keepNext w:val="0"/>
        <w:widowControl w:val="0"/>
        <w:suppressLineNumbers/>
        <w:tabs>
          <w:tab w:val="clear" w:pos="680"/>
        </w:tabs>
        <w:suppressAutoHyphens/>
        <w:rPr>
          <w:szCs w:val="18"/>
        </w:rPr>
      </w:pPr>
      <w:bookmarkStart w:id="54" w:name="_Toc407069682"/>
      <w:bookmarkStart w:id="55" w:name="_Toc407081647"/>
      <w:bookmarkStart w:id="56" w:name="_Toc407081790"/>
      <w:bookmarkStart w:id="57" w:name="_Toc407083446"/>
      <w:bookmarkStart w:id="58" w:name="_Toc407084280"/>
      <w:bookmarkStart w:id="59" w:name="_Toc407085399"/>
      <w:bookmarkStart w:id="60" w:name="_Toc407085542"/>
      <w:bookmarkStart w:id="61" w:name="_Toc407085685"/>
      <w:bookmarkStart w:id="62" w:name="_Toc407086133"/>
      <w:bookmarkStart w:id="63" w:name="_Toc11653875"/>
      <w:r w:rsidRPr="00FA4B4A">
        <w:rPr>
          <w:szCs w:val="18"/>
        </w:rPr>
        <w:t>Skropienie warstw nawierzchni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204AA2" w:rsidRPr="00FA4B4A" w:rsidRDefault="00054763" w:rsidP="00204AA2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Skrapianie należy wykonywać równomiernie na całej powierzchni przeznaczonej do skropienia. </w:t>
      </w:r>
      <w:r w:rsidR="009F5B45" w:rsidRPr="00FA4B4A">
        <w:rPr>
          <w:szCs w:val="18"/>
        </w:rPr>
        <w:t xml:space="preserve">Warstwa nawierzchni powinna być skrapiana emulsją przy użyciu skrapiarek, a w miejscach trudno dostępnych ręcznie (za pomocą węża z dyszą rozpryskową). </w:t>
      </w:r>
      <w:r w:rsidR="00473935" w:rsidRPr="00FA4B4A">
        <w:rPr>
          <w:szCs w:val="18"/>
        </w:rPr>
        <w:t>Nie dopuszcza się wykonania skropienia podczas opadów deszczu lub tuż przed spodziewanymi opadami. Temperatura podłoża w czasie skrapiania warstw z mieszanek mineralno-bitumicznych powinna wynosić nie mniej niż +5°C. Temperatura podłoża w czasie skrapiania warstw z mieszanek niezwiązanych lub związanych hydraulicznie powinna wynosić nie mniej niż +1°C.</w:t>
      </w:r>
      <w:r w:rsidR="006B09CF" w:rsidRPr="00FA4B4A">
        <w:rPr>
          <w:szCs w:val="18"/>
        </w:rPr>
        <w:t xml:space="preserve"> </w:t>
      </w:r>
      <w:r w:rsidRPr="00FA4B4A">
        <w:rPr>
          <w:szCs w:val="18"/>
        </w:rPr>
        <w:t xml:space="preserve">Podłoże powinno być skropione z odpowiednim wyprzedzeniem przed układaniem następnej warstwy asfaltowej w celu rozpadu emulsji z wydzieleniem asfaltu i odparowania wody. O rozpadzie emulsji świadczy zmiana koloru skropionej powierzchni z brązowego na czarny. </w:t>
      </w:r>
      <w:r w:rsidR="00204AA2" w:rsidRPr="00FA4B4A">
        <w:rPr>
          <w:szCs w:val="18"/>
        </w:rPr>
        <w:t>Skropiona warstwa powinna być pozostawiona bez jakiegokolwiek ruchu na czas niezbędny dla umożliwienia penetracji emulsji w warstwę i odparowania z niej wody.</w:t>
      </w:r>
      <w:r w:rsidR="006B09CF" w:rsidRPr="00FA4B4A">
        <w:rPr>
          <w:szCs w:val="18"/>
        </w:rPr>
        <w:t xml:space="preserve"> </w:t>
      </w:r>
      <w:r w:rsidRPr="00FA4B4A">
        <w:rPr>
          <w:szCs w:val="18"/>
        </w:rPr>
        <w:t>Przed wykonaniem następnego zabiegu technologicznego należy odczekać minimum 30 minut od momentu zmiany koloru pokrytej lepiszczem warstwy na czarny.</w:t>
      </w:r>
      <w:r w:rsidR="00204AA2" w:rsidRPr="00FA4B4A">
        <w:rPr>
          <w:szCs w:val="18"/>
        </w:rPr>
        <w:t xml:space="preserve"> </w:t>
      </w:r>
      <w:r w:rsidR="009F5B45" w:rsidRPr="00FA4B4A">
        <w:rPr>
          <w:szCs w:val="18"/>
        </w:rPr>
        <w:t xml:space="preserve">Przed ułożeniem </w:t>
      </w:r>
      <w:r w:rsidR="00204AA2" w:rsidRPr="00FA4B4A">
        <w:rPr>
          <w:szCs w:val="18"/>
        </w:rPr>
        <w:t xml:space="preserve">kolejnej </w:t>
      </w:r>
      <w:r w:rsidR="009F5B45" w:rsidRPr="00FA4B4A">
        <w:rPr>
          <w:szCs w:val="18"/>
        </w:rPr>
        <w:t>warstwy</w:t>
      </w:r>
      <w:r w:rsidR="00204AA2" w:rsidRPr="00FA4B4A">
        <w:rPr>
          <w:szCs w:val="18"/>
        </w:rPr>
        <w:t xml:space="preserve">, </w:t>
      </w:r>
      <w:r w:rsidR="009F5B45" w:rsidRPr="00FA4B4A">
        <w:rPr>
          <w:szCs w:val="18"/>
        </w:rPr>
        <w:t>Wykonawca powinien zabezpieczyć skropioną warstwę nawierzchni przed uszkodzeniem dopuszczając tylko niezbędny ruch budowlany.</w:t>
      </w:r>
      <w:r w:rsidR="006B09CF" w:rsidRPr="00FA4B4A">
        <w:rPr>
          <w:szCs w:val="18"/>
        </w:rPr>
        <w:t xml:space="preserve"> </w:t>
      </w:r>
      <w:r w:rsidR="00204AA2" w:rsidRPr="00FA4B4A">
        <w:rPr>
          <w:szCs w:val="18"/>
        </w:rPr>
        <w:t>Temperatura emulsji asfaltowej podczas wykonywania skropienia podłoża musi mieścić się w granicach:</w:t>
      </w:r>
    </w:p>
    <w:p w:rsidR="00204AA2" w:rsidRPr="00FA4B4A" w:rsidRDefault="00204AA2" w:rsidP="00204AA2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- emulsja asfaltowa: min. 50°C; max 85°C</w:t>
      </w:r>
    </w:p>
    <w:p w:rsidR="00204AA2" w:rsidRPr="00FA4B4A" w:rsidRDefault="00204AA2" w:rsidP="00204AA2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- emulsja asfaltowa modyfikowana polimerem: min. 60°C; max. 85°C</w:t>
      </w:r>
    </w:p>
    <w:p w:rsidR="00BB782C" w:rsidRPr="00FA4B4A" w:rsidRDefault="00BB782C" w:rsidP="00CF57C8">
      <w:pPr>
        <w:pStyle w:val="Nagwek1"/>
        <w:keepNext w:val="0"/>
        <w:widowControl w:val="0"/>
        <w:suppressLineNumbers/>
        <w:tabs>
          <w:tab w:val="left" w:pos="680"/>
        </w:tabs>
        <w:suppressAutoHyphens/>
        <w:rPr>
          <w:szCs w:val="18"/>
        </w:rPr>
      </w:pPr>
      <w:bookmarkStart w:id="64" w:name="_Toc11653876"/>
      <w:r w:rsidRPr="00FA4B4A">
        <w:rPr>
          <w:szCs w:val="18"/>
        </w:rPr>
        <w:t>KONTROLA JAKOŚCI ROBÓT</w:t>
      </w:r>
      <w:bookmarkEnd w:id="64"/>
    </w:p>
    <w:p w:rsidR="00995276" w:rsidRPr="00FA4B4A" w:rsidRDefault="00995276" w:rsidP="00FA4B4A">
      <w:pPr>
        <w:pStyle w:val="Nagwek2"/>
        <w:rPr>
          <w:szCs w:val="18"/>
        </w:rPr>
      </w:pPr>
      <w:bookmarkStart w:id="65" w:name="_Toc11653877"/>
      <w:r w:rsidRPr="00FA4B4A">
        <w:rPr>
          <w:szCs w:val="18"/>
        </w:rPr>
        <w:t>Ogólne zasady kontroli jakości robót</w:t>
      </w:r>
      <w:bookmarkEnd w:id="65"/>
    </w:p>
    <w:p w:rsidR="00BB782C" w:rsidRPr="00FA4B4A" w:rsidRDefault="00BB782C" w:rsidP="00CF57C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Ogólne zasady kontroli jakości robót podano w </w:t>
      </w:r>
      <w:r w:rsidR="00F3297C" w:rsidRPr="00FA4B4A">
        <w:rPr>
          <w:szCs w:val="18"/>
        </w:rPr>
        <w:t>STWiORB</w:t>
      </w:r>
      <w:r w:rsidRPr="00FA4B4A">
        <w:rPr>
          <w:szCs w:val="18"/>
        </w:rPr>
        <w:t xml:space="preserve"> D</w:t>
      </w:r>
      <w:r w:rsidR="000667ED" w:rsidRPr="00FA4B4A">
        <w:rPr>
          <w:szCs w:val="18"/>
        </w:rPr>
        <w:t>-</w:t>
      </w:r>
      <w:r w:rsidRPr="00FA4B4A">
        <w:rPr>
          <w:szCs w:val="18"/>
        </w:rPr>
        <w:t>M.00.00.00 „</w:t>
      </w:r>
      <w:r w:rsidR="000667ED" w:rsidRPr="00FA4B4A">
        <w:rPr>
          <w:szCs w:val="18"/>
        </w:rPr>
        <w:t>Wymagania ogólne dla robót</w:t>
      </w:r>
      <w:r w:rsidRPr="00FA4B4A">
        <w:rPr>
          <w:szCs w:val="18"/>
        </w:rPr>
        <w:t>” p</w:t>
      </w:r>
      <w:r w:rsidR="000667ED" w:rsidRPr="00FA4B4A">
        <w:rPr>
          <w:szCs w:val="18"/>
        </w:rPr>
        <w:t>kt</w:t>
      </w:r>
      <w:r w:rsidRPr="00FA4B4A">
        <w:rPr>
          <w:szCs w:val="18"/>
        </w:rPr>
        <w:t>.6.</w:t>
      </w:r>
    </w:p>
    <w:p w:rsidR="006E3396" w:rsidRPr="00FA4B4A" w:rsidRDefault="006E3396" w:rsidP="00FA4B4A">
      <w:pPr>
        <w:pStyle w:val="Nagwek2"/>
        <w:rPr>
          <w:szCs w:val="18"/>
        </w:rPr>
      </w:pPr>
      <w:bookmarkStart w:id="66" w:name="_Toc406984103"/>
      <w:bookmarkStart w:id="67" w:name="_Toc406984250"/>
      <w:bookmarkStart w:id="68" w:name="_Toc406984441"/>
      <w:bookmarkStart w:id="69" w:name="_Toc407069649"/>
      <w:bookmarkStart w:id="70" w:name="_Toc407081614"/>
      <w:bookmarkStart w:id="71" w:name="_Toc407081757"/>
      <w:bookmarkStart w:id="72" w:name="_Toc407084247"/>
      <w:bookmarkStart w:id="73" w:name="_Toc407085366"/>
      <w:bookmarkStart w:id="74" w:name="_Toc407085509"/>
      <w:bookmarkStart w:id="75" w:name="_Toc407085652"/>
      <w:bookmarkStart w:id="76" w:name="_Toc407086100"/>
      <w:bookmarkStart w:id="77" w:name="_Toc11653878"/>
      <w:r w:rsidRPr="00FA4B4A">
        <w:rPr>
          <w:szCs w:val="18"/>
        </w:rPr>
        <w:t>Badania przed przystąpieniem do robót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AA04C5" w:rsidRPr="00FA4B4A" w:rsidRDefault="00AA04C5" w:rsidP="00AA04C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Przed przystąpieniem do robót Wykonawca powinien:</w:t>
      </w:r>
    </w:p>
    <w:p w:rsidR="00AA04C5" w:rsidRPr="00FA4B4A" w:rsidRDefault="00AA04C5" w:rsidP="00AA04C5">
      <w:pPr>
        <w:pStyle w:val="normalny3"/>
        <w:widowControl w:val="0"/>
        <w:numPr>
          <w:ilvl w:val="0"/>
          <w:numId w:val="9"/>
        </w:numPr>
        <w:suppressLineNumbers/>
        <w:suppressAutoHyphens/>
        <w:rPr>
          <w:szCs w:val="18"/>
        </w:rPr>
      </w:pPr>
      <w:r w:rsidRPr="00FA4B4A">
        <w:rPr>
          <w:szCs w:val="18"/>
        </w:rPr>
        <w:t>uzyskać wymagane dokumenty, dopuszczające wyroby budowlane do obrotu i powszechnego stosowania (np. informacje o wyrobie budowlanym, stwierdzenie o oznakowaniu materiału znakiem CE lub znakiem budowlanym B, certyfikat zgodności, deklarację właściwości użytkowych, aprobatę techniczną, ew. badania materiałów wykonane przez dostawców itp.),</w:t>
      </w:r>
    </w:p>
    <w:p w:rsidR="00AA04C5" w:rsidRPr="00FA4B4A" w:rsidRDefault="00AA04C5" w:rsidP="00AA04C5">
      <w:pPr>
        <w:pStyle w:val="normalny3"/>
        <w:widowControl w:val="0"/>
        <w:numPr>
          <w:ilvl w:val="0"/>
          <w:numId w:val="9"/>
        </w:numPr>
        <w:suppressLineNumbers/>
        <w:suppressAutoHyphens/>
        <w:rPr>
          <w:szCs w:val="18"/>
        </w:rPr>
      </w:pPr>
      <w:r w:rsidRPr="00FA4B4A">
        <w:rPr>
          <w:szCs w:val="18"/>
        </w:rPr>
        <w:t xml:space="preserve">ew. wykonać własne badania właściwości materiałów przeznaczonych do wykonania robót, określone przez </w:t>
      </w:r>
      <w:r w:rsidR="00054F8A" w:rsidRPr="00FA4B4A">
        <w:rPr>
          <w:szCs w:val="18"/>
        </w:rPr>
        <w:t>Inwestor</w:t>
      </w:r>
      <w:r w:rsidRPr="00FA4B4A">
        <w:rPr>
          <w:szCs w:val="18"/>
        </w:rPr>
        <w:t>a.</w:t>
      </w:r>
    </w:p>
    <w:p w:rsidR="00AA04C5" w:rsidRPr="00FA4B4A" w:rsidRDefault="00AA04C5" w:rsidP="00AA04C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Wszystkie dokumenty oraz wyniki badań Wykonawca przedstawia </w:t>
      </w:r>
      <w:r w:rsidR="00054F8A" w:rsidRPr="00FA4B4A">
        <w:rPr>
          <w:szCs w:val="18"/>
        </w:rPr>
        <w:t>Inwestor</w:t>
      </w:r>
      <w:r w:rsidRPr="00FA4B4A">
        <w:rPr>
          <w:szCs w:val="18"/>
        </w:rPr>
        <w:t>owi do akceptacji.</w:t>
      </w:r>
    </w:p>
    <w:p w:rsidR="00AA04C5" w:rsidRPr="00FA4B4A" w:rsidRDefault="00AA04C5" w:rsidP="00FA4B4A">
      <w:pPr>
        <w:pStyle w:val="Nagwek2"/>
        <w:rPr>
          <w:szCs w:val="18"/>
        </w:rPr>
      </w:pPr>
      <w:bookmarkStart w:id="78" w:name="_Toc11653879"/>
      <w:r w:rsidRPr="00FA4B4A">
        <w:rPr>
          <w:szCs w:val="18"/>
        </w:rPr>
        <w:t>Badania w czasie robót</w:t>
      </w:r>
      <w:bookmarkEnd w:id="78"/>
    </w:p>
    <w:p w:rsidR="00AA04C5" w:rsidRPr="00FA4B4A" w:rsidRDefault="00AA04C5" w:rsidP="00AA04C5">
      <w:pPr>
        <w:pStyle w:val="Nagwek3"/>
        <w:keepNext w:val="0"/>
        <w:widowControl w:val="0"/>
        <w:suppressLineNumbers/>
        <w:suppressAutoHyphens/>
        <w:rPr>
          <w:bCs/>
          <w:szCs w:val="18"/>
        </w:rPr>
      </w:pPr>
      <w:bookmarkStart w:id="79" w:name="_Toc11653880"/>
      <w:r w:rsidRPr="00FA4B4A">
        <w:rPr>
          <w:bCs/>
          <w:szCs w:val="18"/>
        </w:rPr>
        <w:t>Badania emulsji</w:t>
      </w:r>
      <w:bookmarkEnd w:id="79"/>
    </w:p>
    <w:p w:rsidR="00AA04C5" w:rsidRPr="00FA4B4A" w:rsidRDefault="00AA04C5" w:rsidP="00AA04C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Ocena emulsji powinna być oparta na atestach producenta.</w:t>
      </w:r>
    </w:p>
    <w:p w:rsidR="006B09CF" w:rsidRPr="00FA4B4A" w:rsidRDefault="006B09CF" w:rsidP="005950C1">
      <w:pPr>
        <w:pStyle w:val="Nagwek3"/>
        <w:rPr>
          <w:szCs w:val="18"/>
        </w:rPr>
      </w:pPr>
      <w:bookmarkStart w:id="80" w:name="_Toc11653881"/>
      <w:r w:rsidRPr="00FA4B4A">
        <w:rPr>
          <w:szCs w:val="18"/>
        </w:rPr>
        <w:t>Ocena czystości podłoża</w:t>
      </w:r>
      <w:bookmarkEnd w:id="80"/>
    </w:p>
    <w:p w:rsidR="00336D73" w:rsidRPr="00FA4B4A" w:rsidRDefault="006B09CF" w:rsidP="005950C1">
      <w:pPr>
        <w:rPr>
          <w:szCs w:val="18"/>
        </w:rPr>
      </w:pPr>
      <w:r w:rsidRPr="00FA4B4A">
        <w:rPr>
          <w:szCs w:val="18"/>
        </w:rPr>
        <w:t>Należy przeprowadzić wizualną kontrolę czystości podłoża na zgodność z wymaganymi podanymi w pkt. 5.3. niniejszej STWiORB.</w:t>
      </w:r>
    </w:p>
    <w:p w:rsidR="00AA04C5" w:rsidRPr="00FA4B4A" w:rsidRDefault="00AA04C5" w:rsidP="00AA04C5">
      <w:pPr>
        <w:pStyle w:val="Nagwek3"/>
        <w:keepNext w:val="0"/>
        <w:widowControl w:val="0"/>
        <w:suppressLineNumbers/>
        <w:suppressAutoHyphens/>
        <w:rPr>
          <w:b w:val="0"/>
          <w:caps/>
          <w:szCs w:val="18"/>
        </w:rPr>
      </w:pPr>
      <w:bookmarkStart w:id="81" w:name="_Toc11653882"/>
      <w:r w:rsidRPr="00FA4B4A">
        <w:rPr>
          <w:bCs/>
          <w:szCs w:val="18"/>
        </w:rPr>
        <w:t>Sprawdzenie jednorodności skropienia i zużycia emulsji (pozostałego asfaltu)</w:t>
      </w:r>
      <w:bookmarkEnd w:id="81"/>
    </w:p>
    <w:p w:rsidR="00AA04C5" w:rsidRPr="00FA4B4A" w:rsidRDefault="00AA04C5" w:rsidP="00AA04C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Należy przeprowadzić kontrolę ilości rozkładanego lepiszcza według normy PN-EN 12272-1</w:t>
      </w:r>
      <w:r w:rsidR="00AF071E" w:rsidRPr="00FA4B4A">
        <w:rPr>
          <w:szCs w:val="18"/>
        </w:rPr>
        <w:t xml:space="preserve"> lub dokumentować ilość skropienia na podstawie zużycia z elektronicznego pomiaru zużycia zamontowanego na skrapiarce.</w:t>
      </w:r>
      <w:r w:rsidRPr="00FA4B4A">
        <w:rPr>
          <w:szCs w:val="18"/>
        </w:rPr>
        <w:t xml:space="preserve">. </w:t>
      </w:r>
    </w:p>
    <w:p w:rsidR="00AA04C5" w:rsidRPr="00FA4B4A" w:rsidRDefault="00AA04C5" w:rsidP="00AA04C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Miejsce pobrania próbek powinno znajdować się co najmniej 30m od miejsca, w którym rozpoczęto skropienie.</w:t>
      </w:r>
    </w:p>
    <w:p w:rsidR="00AA04C5" w:rsidRPr="00FA4B4A" w:rsidRDefault="00AA04C5" w:rsidP="00AA04C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Oznaczanie dokładności dozowania emulsji zgodnie z normą PN-EN 12272-1 pkt 6.</w:t>
      </w:r>
    </w:p>
    <w:p w:rsidR="006B09CF" w:rsidRPr="00FA4B4A" w:rsidRDefault="006B09CF" w:rsidP="005950C1">
      <w:pPr>
        <w:pStyle w:val="Nagwek3"/>
        <w:rPr>
          <w:szCs w:val="18"/>
        </w:rPr>
      </w:pPr>
      <w:bookmarkStart w:id="82" w:name="_Toc11653883"/>
      <w:r w:rsidRPr="00FA4B4A">
        <w:rPr>
          <w:szCs w:val="18"/>
        </w:rPr>
        <w:t>Ocena wizualna wykonanego skropienia</w:t>
      </w:r>
      <w:bookmarkEnd w:id="82"/>
    </w:p>
    <w:p w:rsidR="006B09CF" w:rsidRPr="00FA4B4A" w:rsidRDefault="006B09CF" w:rsidP="005950C1">
      <w:pPr>
        <w:rPr>
          <w:szCs w:val="18"/>
        </w:rPr>
      </w:pPr>
      <w:r w:rsidRPr="00FA4B4A">
        <w:rPr>
          <w:szCs w:val="18"/>
        </w:rPr>
        <w:t>Należy dokonać wizualnej oceny wykonanego skropienia w celu sprawdzenia:</w:t>
      </w:r>
    </w:p>
    <w:p w:rsidR="006B09CF" w:rsidRPr="00FA4B4A" w:rsidRDefault="006B09CF" w:rsidP="005950C1">
      <w:pPr>
        <w:rPr>
          <w:szCs w:val="18"/>
        </w:rPr>
      </w:pPr>
      <w:r w:rsidRPr="00FA4B4A">
        <w:rPr>
          <w:szCs w:val="18"/>
        </w:rPr>
        <w:t>- czy emulsja uległa rozpadowi i zmieniła kolor z brązowego na czarny,</w:t>
      </w:r>
    </w:p>
    <w:p w:rsidR="006B09CF" w:rsidRPr="00FA4B4A" w:rsidRDefault="006B09CF" w:rsidP="005950C1">
      <w:pPr>
        <w:rPr>
          <w:szCs w:val="18"/>
        </w:rPr>
      </w:pPr>
      <w:r w:rsidRPr="00FA4B4A">
        <w:rPr>
          <w:szCs w:val="18"/>
        </w:rPr>
        <w:t>- czy całość powierzchni przeznaczonej do skropienia została pokryta emulsja asfaltową</w:t>
      </w:r>
    </w:p>
    <w:p w:rsidR="00F3297C" w:rsidRDefault="00F3297C" w:rsidP="00CF57C8">
      <w:pPr>
        <w:pStyle w:val="Nagwek1"/>
        <w:keepNext w:val="0"/>
        <w:widowControl w:val="0"/>
        <w:suppressLineNumbers/>
        <w:suppressAutoHyphens/>
        <w:rPr>
          <w:szCs w:val="18"/>
        </w:rPr>
      </w:pPr>
      <w:bookmarkStart w:id="83" w:name="_Toc11653884"/>
      <w:r w:rsidRPr="00FA4B4A">
        <w:rPr>
          <w:szCs w:val="18"/>
        </w:rPr>
        <w:t>OBMIAR ROBÓT</w:t>
      </w:r>
      <w:bookmarkEnd w:id="83"/>
    </w:p>
    <w:p w:rsidR="00F3297C" w:rsidRDefault="00F3297C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84" w:name="_Toc407161230"/>
      <w:bookmarkStart w:id="85" w:name="_Toc11653885"/>
      <w:r w:rsidRPr="00FA4B4A">
        <w:rPr>
          <w:szCs w:val="18"/>
        </w:rPr>
        <w:t>Ogólne zasady obmiaru robót</w:t>
      </w:r>
      <w:bookmarkEnd w:id="84"/>
      <w:bookmarkEnd w:id="85"/>
    </w:p>
    <w:p w:rsidR="002D3397" w:rsidRPr="002D3397" w:rsidRDefault="002D3397" w:rsidP="002D3397">
      <w:r>
        <w:t>Ogólne zasady obmiaru robót podano w STWiORB D-M-00.00.00 "Wymagania ogólne.</w:t>
      </w:r>
    </w:p>
    <w:p w:rsidR="00BD6845" w:rsidRPr="00FA4B4A" w:rsidRDefault="00BD6845" w:rsidP="00FA4B4A">
      <w:pPr>
        <w:pStyle w:val="Nagwek2"/>
        <w:keepNext w:val="0"/>
        <w:widowControl w:val="0"/>
        <w:suppressLineNumbers/>
        <w:suppressAutoHyphens/>
        <w:rPr>
          <w:b w:val="0"/>
          <w:szCs w:val="18"/>
        </w:rPr>
      </w:pPr>
      <w:bookmarkStart w:id="86" w:name="_Toc407161231"/>
      <w:bookmarkStart w:id="87" w:name="_Toc11653886"/>
      <w:r w:rsidRPr="00FA4B4A">
        <w:rPr>
          <w:szCs w:val="18"/>
        </w:rPr>
        <w:t>Jednostka obmiarowa</w:t>
      </w:r>
      <w:bookmarkEnd w:id="87"/>
    </w:p>
    <w:bookmarkEnd w:id="86"/>
    <w:p w:rsidR="00AA04C5" w:rsidRPr="00FA4B4A" w:rsidRDefault="002D3397" w:rsidP="00AA04C5">
      <w:pPr>
        <w:widowControl w:val="0"/>
        <w:suppressLineNumbers/>
        <w:suppressAutoHyphens/>
        <w:rPr>
          <w:szCs w:val="18"/>
        </w:rPr>
      </w:pPr>
      <w:r>
        <w:t>Jednostką obmiaru jest metr kwadratowy (m</w:t>
      </w:r>
      <w:r>
        <w:rPr>
          <w:vertAlign w:val="superscript"/>
        </w:rPr>
        <w:t>2</w:t>
      </w:r>
      <w:r>
        <w:t xml:space="preserve">) </w:t>
      </w:r>
      <w:r>
        <w:t>oczyszczonej i skropionej warstwy</w:t>
      </w:r>
      <w:bookmarkStart w:id="88" w:name="_GoBack"/>
      <w:bookmarkEnd w:id="88"/>
      <w:r>
        <w:t xml:space="preserve"> zgodnie z Dokumentacją Projektową.</w:t>
      </w:r>
    </w:p>
    <w:p w:rsidR="00F3297C" w:rsidRPr="00FA4B4A" w:rsidRDefault="00F3297C" w:rsidP="00CF57C8">
      <w:pPr>
        <w:pStyle w:val="Nagwek1"/>
        <w:keepNext w:val="0"/>
        <w:widowControl w:val="0"/>
        <w:suppressLineNumbers/>
        <w:suppressAutoHyphens/>
        <w:rPr>
          <w:szCs w:val="18"/>
        </w:rPr>
      </w:pPr>
      <w:bookmarkStart w:id="89" w:name="_Toc11653887"/>
      <w:r w:rsidRPr="00FA4B4A">
        <w:rPr>
          <w:szCs w:val="18"/>
        </w:rPr>
        <w:lastRenderedPageBreak/>
        <w:t>ODBIÓR ROBÓT</w:t>
      </w:r>
      <w:bookmarkEnd w:id="89"/>
      <w:r w:rsidRPr="00FA4B4A">
        <w:rPr>
          <w:szCs w:val="18"/>
        </w:rPr>
        <w:t xml:space="preserve"> </w:t>
      </w:r>
    </w:p>
    <w:p w:rsidR="00F3297C" w:rsidRPr="00FA4B4A" w:rsidRDefault="00F3297C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90" w:name="_Toc11653888"/>
      <w:r w:rsidRPr="00FA4B4A">
        <w:rPr>
          <w:szCs w:val="18"/>
        </w:rPr>
        <w:t>Ogólne zasady odbioru robót</w:t>
      </w:r>
      <w:bookmarkEnd w:id="90"/>
    </w:p>
    <w:p w:rsidR="000667ED" w:rsidRPr="00FA4B4A" w:rsidRDefault="00F3297C" w:rsidP="00CF57C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Ogólne zasady odbioru robót podano w STWiORB </w:t>
      </w:r>
      <w:r w:rsidR="000667ED" w:rsidRPr="00FA4B4A">
        <w:rPr>
          <w:szCs w:val="18"/>
        </w:rPr>
        <w:t>D-M-00.00.00 "Wymagania ogólne dla robót" pkt 8.</w:t>
      </w:r>
    </w:p>
    <w:p w:rsidR="002949AC" w:rsidRPr="00FA4B4A" w:rsidRDefault="002949AC" w:rsidP="002949AC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Roboty uznaje się za wykonane zgodnie z dokumentacją projektową, STWiORB i wymaganiami </w:t>
      </w:r>
      <w:r w:rsidR="00054F8A" w:rsidRPr="00FA4B4A">
        <w:rPr>
          <w:szCs w:val="18"/>
        </w:rPr>
        <w:t>Inwestor</w:t>
      </w:r>
      <w:r w:rsidRPr="00FA4B4A">
        <w:rPr>
          <w:szCs w:val="18"/>
        </w:rPr>
        <w:t>a, jeżeli wszystkie pomiary i badania z zachowaniem tolerancji wg pkt 6 dały wyniki pozytywne.</w:t>
      </w:r>
    </w:p>
    <w:p w:rsidR="00F3297C" w:rsidRPr="00FA4B4A" w:rsidRDefault="00F3297C" w:rsidP="00CF57C8">
      <w:pPr>
        <w:pStyle w:val="Nagwek1"/>
        <w:keepNext w:val="0"/>
        <w:widowControl w:val="0"/>
        <w:suppressLineNumbers/>
        <w:suppressAutoHyphens/>
        <w:rPr>
          <w:szCs w:val="18"/>
        </w:rPr>
      </w:pPr>
      <w:bookmarkStart w:id="91" w:name="_Toc11653889"/>
      <w:r w:rsidRPr="00FA4B4A">
        <w:rPr>
          <w:szCs w:val="18"/>
        </w:rPr>
        <w:t>PODSTAWA PŁATNOŚCI</w:t>
      </w:r>
      <w:bookmarkEnd w:id="91"/>
    </w:p>
    <w:p w:rsidR="00F3297C" w:rsidRPr="00FA4B4A" w:rsidRDefault="00F3297C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92" w:name="_Toc11653890"/>
      <w:r w:rsidRPr="00FA4B4A">
        <w:rPr>
          <w:szCs w:val="18"/>
        </w:rPr>
        <w:t>Ogólne ustalenia dotyczące podstawy płatności</w:t>
      </w:r>
      <w:bookmarkEnd w:id="92"/>
    </w:p>
    <w:p w:rsidR="000667ED" w:rsidRPr="00FA4B4A" w:rsidRDefault="000667ED" w:rsidP="00CF57C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Ogólne zasady płatności podano w STWiORB D-M.00.00.00 „Wymagania ogólne dla robót" pkt.9.</w:t>
      </w:r>
    </w:p>
    <w:p w:rsidR="000667ED" w:rsidRPr="00FA4B4A" w:rsidRDefault="00F3297C" w:rsidP="00CF57C8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Wynagrodzenie ryczałtowe: zasady płatności podano w umowie między Zamawiającym, a Wykonawcą. </w:t>
      </w:r>
    </w:p>
    <w:p w:rsidR="00BD6845" w:rsidRPr="00FA4B4A" w:rsidRDefault="00BD6845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93" w:name="_Toc407161235"/>
      <w:bookmarkStart w:id="94" w:name="_Toc11653891"/>
      <w:r w:rsidRPr="00FA4B4A">
        <w:rPr>
          <w:szCs w:val="18"/>
        </w:rPr>
        <w:t>Cena jednostki obmiarowej</w:t>
      </w:r>
      <w:bookmarkEnd w:id="93"/>
      <w:bookmarkEnd w:id="94"/>
    </w:p>
    <w:p w:rsidR="002949AC" w:rsidRPr="00FA4B4A" w:rsidRDefault="002949AC" w:rsidP="002949AC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 xml:space="preserve">Cena </w:t>
      </w:r>
      <w:r w:rsidR="006A3C88" w:rsidRPr="00FA4B4A">
        <w:rPr>
          <w:szCs w:val="18"/>
        </w:rPr>
        <w:t>r</w:t>
      </w:r>
      <w:r w:rsidR="000A7481" w:rsidRPr="00FA4B4A">
        <w:rPr>
          <w:szCs w:val="18"/>
        </w:rPr>
        <w:t xml:space="preserve">yczałtowa </w:t>
      </w:r>
      <w:r w:rsidRPr="00FA4B4A">
        <w:rPr>
          <w:szCs w:val="18"/>
        </w:rPr>
        <w:t>wykonania jednostk</w:t>
      </w:r>
      <w:r w:rsidR="000A7481" w:rsidRPr="00FA4B4A">
        <w:rPr>
          <w:szCs w:val="18"/>
        </w:rPr>
        <w:t>i</w:t>
      </w:r>
      <w:r w:rsidRPr="00FA4B4A">
        <w:rPr>
          <w:szCs w:val="18"/>
        </w:rPr>
        <w:t xml:space="preserve"> obmiarow</w:t>
      </w:r>
      <w:r w:rsidR="000A7481" w:rsidRPr="00FA4B4A">
        <w:rPr>
          <w:szCs w:val="18"/>
        </w:rPr>
        <w:t>ej</w:t>
      </w:r>
      <w:r w:rsidRPr="00FA4B4A">
        <w:rPr>
          <w:szCs w:val="18"/>
        </w:rPr>
        <w:t xml:space="preserve"> z pkt 7.2 obejmuje:</w:t>
      </w:r>
    </w:p>
    <w:p w:rsidR="00AA04C5" w:rsidRPr="00FA4B4A" w:rsidRDefault="00AA04C5" w:rsidP="00AA04C5">
      <w:pPr>
        <w:pStyle w:val="normalny3"/>
        <w:widowControl w:val="0"/>
        <w:numPr>
          <w:ilvl w:val="0"/>
          <w:numId w:val="9"/>
        </w:numPr>
        <w:suppressLineNumbers/>
        <w:suppressAutoHyphens/>
        <w:rPr>
          <w:szCs w:val="18"/>
        </w:rPr>
      </w:pPr>
      <w:r w:rsidRPr="00FA4B4A">
        <w:rPr>
          <w:szCs w:val="18"/>
        </w:rPr>
        <w:t>prace pomiarowe i roboty przygotowawcze,</w:t>
      </w:r>
    </w:p>
    <w:p w:rsidR="00AA04C5" w:rsidRPr="00FA4B4A" w:rsidRDefault="00AA04C5" w:rsidP="00AA04C5">
      <w:pPr>
        <w:pStyle w:val="normalny3"/>
        <w:widowControl w:val="0"/>
        <w:numPr>
          <w:ilvl w:val="0"/>
          <w:numId w:val="9"/>
        </w:numPr>
        <w:suppressLineNumbers/>
        <w:suppressAutoHyphens/>
        <w:rPr>
          <w:szCs w:val="18"/>
        </w:rPr>
      </w:pPr>
      <w:r w:rsidRPr="00FA4B4A">
        <w:rPr>
          <w:szCs w:val="18"/>
        </w:rPr>
        <w:t>zakup i dostarczenie materiałów,</w:t>
      </w:r>
    </w:p>
    <w:p w:rsidR="00AA04C5" w:rsidRPr="00FA4B4A" w:rsidRDefault="00AA04C5" w:rsidP="00AA04C5">
      <w:pPr>
        <w:pStyle w:val="normalny3"/>
        <w:widowControl w:val="0"/>
        <w:numPr>
          <w:ilvl w:val="0"/>
          <w:numId w:val="9"/>
        </w:numPr>
        <w:suppressLineNumbers/>
        <w:suppressAutoHyphens/>
        <w:rPr>
          <w:szCs w:val="18"/>
        </w:rPr>
      </w:pPr>
      <w:r w:rsidRPr="00FA4B4A">
        <w:rPr>
          <w:szCs w:val="18"/>
        </w:rPr>
        <w:t>dostarczenie sprzętu,</w:t>
      </w:r>
    </w:p>
    <w:p w:rsidR="00AA04C5" w:rsidRPr="00FA4B4A" w:rsidRDefault="00AA04C5" w:rsidP="00AA04C5">
      <w:pPr>
        <w:pStyle w:val="normalny3"/>
        <w:widowControl w:val="0"/>
        <w:numPr>
          <w:ilvl w:val="0"/>
          <w:numId w:val="9"/>
        </w:numPr>
        <w:suppressLineNumbers/>
        <w:suppressAutoHyphens/>
        <w:rPr>
          <w:szCs w:val="18"/>
        </w:rPr>
      </w:pPr>
      <w:r w:rsidRPr="00FA4B4A">
        <w:rPr>
          <w:szCs w:val="18"/>
        </w:rPr>
        <w:t>mechaniczne oczyszczenie każdej niżej położonej warstwy konstrukcyjnej nawierzchni z ewentualnym polewaniem wodą lub użyciem sprężonego powietrza, w zależności od potrzeb,</w:t>
      </w:r>
    </w:p>
    <w:p w:rsidR="00AA04C5" w:rsidRPr="00FA4B4A" w:rsidRDefault="00AA04C5" w:rsidP="00AA04C5">
      <w:pPr>
        <w:pStyle w:val="normalny3"/>
        <w:widowControl w:val="0"/>
        <w:numPr>
          <w:ilvl w:val="0"/>
          <w:numId w:val="9"/>
        </w:numPr>
        <w:suppressLineNumbers/>
        <w:suppressAutoHyphens/>
        <w:rPr>
          <w:szCs w:val="18"/>
        </w:rPr>
      </w:pPr>
      <w:r w:rsidRPr="00FA4B4A">
        <w:rPr>
          <w:szCs w:val="18"/>
        </w:rPr>
        <w:t xml:space="preserve">skropienie powierzchni warstwy lepiszczem, </w:t>
      </w:r>
    </w:p>
    <w:p w:rsidR="00AA04C5" w:rsidRPr="00FA4B4A" w:rsidRDefault="00AA04C5" w:rsidP="00AA04C5">
      <w:pPr>
        <w:pStyle w:val="normalny3"/>
        <w:widowControl w:val="0"/>
        <w:numPr>
          <w:ilvl w:val="0"/>
          <w:numId w:val="9"/>
        </w:numPr>
        <w:suppressLineNumbers/>
        <w:suppressAutoHyphens/>
        <w:rPr>
          <w:szCs w:val="18"/>
        </w:rPr>
      </w:pPr>
      <w:r w:rsidRPr="00FA4B4A">
        <w:rPr>
          <w:szCs w:val="18"/>
        </w:rPr>
        <w:t>inne roboty i czynności składające się na kompletne wykonanie zakresu robót przewidzianych w niniejszej specyfikacji.</w:t>
      </w:r>
      <w:r w:rsidRPr="00FA4B4A">
        <w:rPr>
          <w:szCs w:val="18"/>
        </w:rPr>
        <w:tab/>
      </w:r>
    </w:p>
    <w:p w:rsidR="00BB782C" w:rsidRPr="00FA4B4A" w:rsidRDefault="00BB782C" w:rsidP="00CF57C8">
      <w:pPr>
        <w:pStyle w:val="Nagwek1"/>
        <w:keepNext w:val="0"/>
        <w:widowControl w:val="0"/>
        <w:suppressLineNumbers/>
        <w:suppressAutoHyphens/>
        <w:rPr>
          <w:szCs w:val="18"/>
        </w:rPr>
      </w:pPr>
      <w:bookmarkStart w:id="95" w:name="_Toc11653892"/>
      <w:r w:rsidRPr="00FA4B4A">
        <w:rPr>
          <w:szCs w:val="18"/>
        </w:rPr>
        <w:t>PRZEPISY ZWIĄZANE</w:t>
      </w:r>
      <w:bookmarkEnd w:id="95"/>
    </w:p>
    <w:p w:rsidR="00731351" w:rsidRPr="00FA4B4A" w:rsidRDefault="00731351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96" w:name="_Toc11653893"/>
      <w:r w:rsidRPr="00FA4B4A">
        <w:rPr>
          <w:szCs w:val="18"/>
        </w:rPr>
        <w:t>Normy</w:t>
      </w:r>
      <w:bookmarkEnd w:id="96"/>
    </w:p>
    <w:p w:rsidR="00AA04C5" w:rsidRPr="00FA4B4A" w:rsidRDefault="00AA04C5" w:rsidP="00AA04C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PN-EN 13808</w:t>
      </w:r>
      <w:r w:rsidR="003A06E3" w:rsidRPr="00FA4B4A">
        <w:rPr>
          <w:szCs w:val="18"/>
        </w:rPr>
        <w:t>+Ap1</w:t>
      </w:r>
      <w:r w:rsidRPr="00FA4B4A">
        <w:rPr>
          <w:szCs w:val="18"/>
        </w:rPr>
        <w:t xml:space="preserve"> </w:t>
      </w:r>
      <w:r w:rsidRPr="00FA4B4A">
        <w:rPr>
          <w:szCs w:val="18"/>
        </w:rPr>
        <w:tab/>
        <w:t>Asfalty i lepiszcza asfaltowe. Zasady klasyfikacji kationowych emulsji asfaltowych</w:t>
      </w:r>
    </w:p>
    <w:p w:rsidR="00AA04C5" w:rsidRPr="00FA4B4A" w:rsidRDefault="00AA04C5" w:rsidP="00AA04C5">
      <w:pPr>
        <w:widowControl w:val="0"/>
        <w:suppressLineNumbers/>
        <w:suppressAutoHyphens/>
        <w:ind w:left="2124" w:hanging="2124"/>
        <w:rPr>
          <w:szCs w:val="18"/>
        </w:rPr>
      </w:pPr>
      <w:r w:rsidRPr="00FA4B4A">
        <w:rPr>
          <w:szCs w:val="18"/>
        </w:rPr>
        <w:t>PN-EN 12272-1</w:t>
      </w:r>
      <w:r w:rsidRPr="00FA4B4A">
        <w:rPr>
          <w:szCs w:val="18"/>
        </w:rPr>
        <w:tab/>
        <w:t>Powierzchniowe utrwalenie. Metody badań. Część 1: Dozowanie i poprzeczny rozkład lepiszcza i kruszywa.</w:t>
      </w:r>
    </w:p>
    <w:p w:rsidR="002949AC" w:rsidRPr="00FA4B4A" w:rsidRDefault="002949AC" w:rsidP="00FA4B4A">
      <w:pPr>
        <w:pStyle w:val="Nagwek2"/>
        <w:keepNext w:val="0"/>
        <w:widowControl w:val="0"/>
        <w:suppressLineNumbers/>
        <w:suppressAutoHyphens/>
        <w:rPr>
          <w:szCs w:val="18"/>
        </w:rPr>
      </w:pPr>
      <w:bookmarkStart w:id="97" w:name="_Toc11653894"/>
      <w:r w:rsidRPr="00FA4B4A">
        <w:rPr>
          <w:szCs w:val="18"/>
        </w:rPr>
        <w:t>Inne</w:t>
      </w:r>
      <w:bookmarkEnd w:id="97"/>
    </w:p>
    <w:p w:rsidR="00AA04C5" w:rsidRPr="00FA4B4A" w:rsidRDefault="00AA04C5" w:rsidP="00AA04C5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Nawierzchnie asfaltowe na drogach publicznych. WT-2 Nawierzchnie asfaltowe 2014. Część 2: Wykonanie nawierzchni asfaltowych. Wydanie drugie poprawione, Instytut Badawczy Dróg i Mostów. Warszawa 2014</w:t>
      </w:r>
    </w:p>
    <w:p w:rsidR="006E3396" w:rsidRPr="00FA4B4A" w:rsidRDefault="00AA04C5" w:rsidP="00FA4B4A">
      <w:pPr>
        <w:widowControl w:val="0"/>
        <w:suppressLineNumbers/>
        <w:suppressAutoHyphens/>
        <w:rPr>
          <w:szCs w:val="18"/>
        </w:rPr>
      </w:pPr>
      <w:r w:rsidRPr="00FA4B4A">
        <w:rPr>
          <w:szCs w:val="18"/>
        </w:rPr>
        <w:t>Badanie połączenia międzywarstwowego próbek laboratoryjnych i z nawierzchni asfaltowej. Instrukcja, Instytut Badawczy Dróg i Mostów. Warszawa (Tekst instrukcji opublikowano w [4])</w:t>
      </w:r>
    </w:p>
    <w:sectPr w:rsidR="006E3396" w:rsidRPr="00FA4B4A" w:rsidSect="0063024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851" w:right="567" w:bottom="851" w:left="567" w:header="284" w:footer="284" w:gutter="284"/>
      <w:pgBorders w:offsetFrom="page">
        <w:top w:val="single" w:sz="4" w:space="24" w:color="auto"/>
        <w:bottom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ADF016" w16cid:durableId="1EDB0B93"/>
  <w16cid:commentId w16cid:paraId="64BD8E75" w16cid:durableId="1EE48E9B"/>
  <w16cid:commentId w16cid:paraId="2D5F37BD" w16cid:durableId="1EE705CB"/>
  <w16cid:commentId w16cid:paraId="5208E944" w16cid:durableId="1EE705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F19" w:rsidRDefault="00AA4F19">
      <w:r>
        <w:separator/>
      </w:r>
    </w:p>
  </w:endnote>
  <w:endnote w:type="continuationSeparator" w:id="0">
    <w:p w:rsidR="00AA4F19" w:rsidRDefault="00AA4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09" w:rsidRDefault="00EB1409" w:rsidP="00915AD4">
    <w:pPr>
      <w:pStyle w:val="Tabela"/>
      <w:pBdr>
        <w:top w:val="single" w:sz="4" w:space="1" w:color="auto"/>
      </w:pBdr>
      <w:rPr>
        <w:sz w:val="16"/>
        <w:szCs w:val="16"/>
      </w:rPr>
    </w:pPr>
    <w:r w:rsidRPr="00F453EE">
      <w:rPr>
        <w:sz w:val="16"/>
        <w:szCs w:val="16"/>
      </w:rPr>
      <w:t>Specyfikacja Techniczna Wykonania i Odbioru Robót Budowlanych</w:t>
    </w:r>
    <w:r>
      <w:rPr>
        <w:sz w:val="16"/>
        <w:szCs w:val="16"/>
      </w:rPr>
      <w:t xml:space="preserve"> - D.04.0</w:t>
    </w:r>
    <w:r w:rsidR="0071594E">
      <w:rPr>
        <w:sz w:val="16"/>
        <w:szCs w:val="16"/>
      </w:rPr>
      <w:t>3</w:t>
    </w:r>
    <w:r>
      <w:rPr>
        <w:sz w:val="16"/>
        <w:szCs w:val="16"/>
      </w:rPr>
      <w:t>.01</w:t>
    </w:r>
  </w:p>
  <w:sdt>
    <w:sdtPr>
      <w:id w:val="-913545714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:rsidR="00EB1409" w:rsidRPr="0099110D" w:rsidRDefault="00130739" w:rsidP="000E1B3C">
        <w:pPr>
          <w:pStyle w:val="Stopka"/>
          <w:jc w:val="center"/>
          <w:rPr>
            <w:noProof/>
            <w:sz w:val="16"/>
          </w:rPr>
        </w:pPr>
        <w:r w:rsidRPr="0099110D">
          <w:rPr>
            <w:sz w:val="16"/>
          </w:rPr>
          <w:fldChar w:fldCharType="begin"/>
        </w:r>
        <w:r w:rsidR="00EB1409" w:rsidRPr="0099110D">
          <w:rPr>
            <w:sz w:val="16"/>
          </w:rPr>
          <w:instrText xml:space="preserve"> PAGE   \* MERGEFORMAT </w:instrText>
        </w:r>
        <w:r w:rsidRPr="0099110D">
          <w:rPr>
            <w:sz w:val="16"/>
          </w:rPr>
          <w:fldChar w:fldCharType="separate"/>
        </w:r>
        <w:r w:rsidR="005949E4">
          <w:rPr>
            <w:noProof/>
            <w:sz w:val="16"/>
          </w:rPr>
          <w:t>4</w:t>
        </w:r>
        <w:r w:rsidRPr="0099110D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2019147153"/>
      <w:docPartObj>
        <w:docPartGallery w:val="Page Numbers (Bottom of Page)"/>
        <w:docPartUnique/>
      </w:docPartObj>
    </w:sdtPr>
    <w:sdtEndPr>
      <w:rPr>
        <w:sz w:val="14"/>
      </w:rPr>
    </w:sdtEndPr>
    <w:sdtContent>
      <w:p w:rsidR="00EB1409" w:rsidRPr="005949E4" w:rsidRDefault="00130739" w:rsidP="00372A11">
        <w:pPr>
          <w:pStyle w:val="Stopka"/>
          <w:spacing w:before="0"/>
          <w:jc w:val="center"/>
        </w:pPr>
        <w:r w:rsidRPr="005949E4">
          <w:rPr>
            <w:sz w:val="18"/>
          </w:rPr>
          <w:fldChar w:fldCharType="begin"/>
        </w:r>
        <w:r w:rsidR="005949E4" w:rsidRPr="005949E4">
          <w:rPr>
            <w:sz w:val="18"/>
          </w:rPr>
          <w:instrText xml:space="preserve"> PAGE  \* Arabic  \* MERGEFORMAT </w:instrText>
        </w:r>
        <w:r w:rsidRPr="005949E4">
          <w:rPr>
            <w:sz w:val="18"/>
          </w:rPr>
          <w:fldChar w:fldCharType="separate"/>
        </w:r>
        <w:r w:rsidR="002D3397">
          <w:rPr>
            <w:noProof/>
            <w:sz w:val="18"/>
          </w:rPr>
          <w:t>3</w:t>
        </w:r>
        <w:r w:rsidRPr="005949E4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F19" w:rsidRDefault="00AA4F19">
      <w:r>
        <w:separator/>
      </w:r>
    </w:p>
  </w:footnote>
  <w:footnote w:type="continuationSeparator" w:id="0">
    <w:p w:rsidR="00AA4F19" w:rsidRDefault="00AA4F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0C1" w:rsidRDefault="005950C1" w:rsidP="005950C1">
    <w:pPr>
      <w:pStyle w:val="nagwek0"/>
      <w:ind w:right="720"/>
      <w:rPr>
        <w:rFonts w:asciiTheme="minorHAnsi" w:hAnsiTheme="minorHAnsi" w:cstheme="minorBidi"/>
        <w:bCs/>
        <w:iCs/>
        <w:sz w:val="8"/>
        <w:szCs w:val="8"/>
      </w:rPr>
    </w:pPr>
    <w:r>
      <w:rPr>
        <w:sz w:val="16"/>
        <w:szCs w:val="16"/>
      </w:rPr>
      <w:t>Projekt i budowa obwodnicy Niemodlina w ciągu drogi krajowej nr 46</w:t>
    </w:r>
  </w:p>
  <w:p w:rsidR="00EB1409" w:rsidRPr="00327B13" w:rsidRDefault="00EB1409" w:rsidP="00915AD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9E4" w:rsidRPr="00372A11" w:rsidRDefault="005949E4" w:rsidP="00372A11">
    <w:pPr>
      <w:pStyle w:val="Nagwek"/>
      <w:spacing w:before="0" w:after="120"/>
      <w:rPr>
        <w:szCs w:val="8"/>
      </w:rPr>
    </w:pPr>
    <w:r w:rsidRPr="005949E4">
      <w:rPr>
        <w:szCs w:val="8"/>
      </w:rPr>
      <w:t>SPECYFIKACJA TECHNICZNA WYKONANIA I ODBIORU ROBÓT BUDOWLANYCH</w:t>
    </w:r>
    <w:r w:rsidRPr="005949E4">
      <w:rPr>
        <w:szCs w:val="8"/>
      </w:rPr>
      <w:tab/>
      <w:t>D.04.03.01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7AAA5164"/>
    <w:lvl w:ilvl="0">
      <w:start w:val="1"/>
      <w:numFmt w:val="decimal"/>
      <w:lvlText w:val="%1."/>
      <w:legacy w:legacy="1" w:legacySpace="170" w:legacyIndent="0"/>
      <w:lvlJc w:val="left"/>
      <w:rPr>
        <w:b/>
        <w:i w:val="0"/>
      </w:rPr>
    </w:lvl>
    <w:lvl w:ilvl="1">
      <w:start w:val="1"/>
      <w:numFmt w:val="decimal"/>
      <w:pStyle w:val="StylNagwek2Pogrubienie"/>
      <w:lvlText w:val="%1.%2."/>
      <w:legacy w:legacy="1" w:legacySpace="170" w:legacyIndent="0"/>
      <w:lvlJc w:val="left"/>
      <w:rPr>
        <w:b/>
        <w:i w:val="0"/>
      </w:rPr>
    </w:lvl>
    <w:lvl w:ilvl="2">
      <w:start w:val="1"/>
      <w:numFmt w:val="decimal"/>
      <w:lvlText w:val="%1.%2.%3."/>
      <w:legacy w:legacy="1" w:legacySpace="170" w:legacyIndent="0"/>
      <w:lvlJc w:val="left"/>
      <w:rPr>
        <w:b/>
        <w:i w:val="0"/>
      </w:rPr>
    </w:lvl>
    <w:lvl w:ilvl="3">
      <w:start w:val="1"/>
      <w:numFmt w:val="decimal"/>
      <w:lvlText w:val="%1.%2.%3.%4."/>
      <w:legacy w:legacy="1" w:legacySpace="170" w:legacyIndent="0"/>
      <w:lvlJc w:val="left"/>
      <w:rPr>
        <w:b/>
        <w:i w:val="0"/>
      </w:rPr>
    </w:lvl>
    <w:lvl w:ilvl="4">
      <w:start w:val="1"/>
      <w:numFmt w:val="decimal"/>
      <w:pStyle w:val="Nagwek5"/>
      <w:lvlText w:val="%1.%2.%3.%4.%5."/>
      <w:legacy w:legacy="1" w:legacySpace="170" w:legacyIndent="0"/>
      <w:lvlJc w:val="left"/>
      <w:rPr>
        <w:b/>
        <w:i w:val="0"/>
      </w:rPr>
    </w:lvl>
    <w:lvl w:ilvl="5">
      <w:start w:val="1"/>
      <w:numFmt w:val="decimal"/>
      <w:pStyle w:val="Nagwek6"/>
      <w:lvlText w:val="%1.%2.%3.%4.%5..%6"/>
      <w:legacy w:legacy="1" w:legacySpace="144" w:legacyIndent="0"/>
      <w:lvlJc w:val="left"/>
    </w:lvl>
    <w:lvl w:ilvl="6">
      <w:start w:val="1"/>
      <w:numFmt w:val="decimal"/>
      <w:pStyle w:val="Nagwek7"/>
      <w:lvlText w:val="%1.%2.%3.%4.%5.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.%6.%7.%8.%9"/>
      <w:legacy w:legacy="1" w:legacySpace="144" w:legacyIndent="0"/>
      <w:lvlJc w:val="left"/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5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A064B6"/>
    <w:multiLevelType w:val="hybridMultilevel"/>
    <w:tmpl w:val="F0E2D2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E32047"/>
    <w:multiLevelType w:val="multilevel"/>
    <w:tmpl w:val="69DEC76C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sz w:val="18"/>
        <w:szCs w:val="18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DBA1606"/>
    <w:multiLevelType w:val="hybridMultilevel"/>
    <w:tmpl w:val="22DE0EAA"/>
    <w:name w:val="WW8Num4"/>
    <w:lvl w:ilvl="0" w:tplc="953A44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531E5C"/>
    <w:multiLevelType w:val="hybridMultilevel"/>
    <w:tmpl w:val="9B72E01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A44DA6"/>
    <w:multiLevelType w:val="multilevel"/>
    <w:tmpl w:val="0FC41C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4B827E03"/>
    <w:multiLevelType w:val="hybridMultilevel"/>
    <w:tmpl w:val="F724E8AC"/>
    <w:lvl w:ilvl="0" w:tplc="1DFC92D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1DFC92D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D21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58068C"/>
    <w:multiLevelType w:val="multilevel"/>
    <w:tmpl w:val="86A4CA58"/>
    <w:lvl w:ilvl="0">
      <w:numFmt w:val="decimal"/>
      <w:pStyle w:val="Gliederu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Gliederu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Gliederu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pStyle w:val="Gliederu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Gliederu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17">
    <w:nsid w:val="7BE02648"/>
    <w:multiLevelType w:val="hybridMultilevel"/>
    <w:tmpl w:val="E6C0F2E4"/>
    <w:lvl w:ilvl="0" w:tplc="FFFFFFFF">
      <w:start w:val="1"/>
      <w:numFmt w:val="bullet"/>
      <w:pStyle w:val="wypunktowaniekreska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5"/>
  </w:num>
  <w:num w:numId="5">
    <w:abstractNumId w:val="13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7"/>
  </w:num>
  <w:num w:numId="9">
    <w:abstractNumId w:val="12"/>
  </w:num>
  <w:num w:numId="10">
    <w:abstractNumId w:val="7"/>
  </w:num>
  <w:num w:numId="11">
    <w:abstractNumId w:val="6"/>
  </w:num>
  <w:num w:numId="12">
    <w:abstractNumId w:val="9"/>
  </w:num>
  <w:num w:numId="13">
    <w:abstractNumId w:val="11"/>
  </w:num>
  <w:num w:numId="1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F0"/>
    <w:rsid w:val="000000D2"/>
    <w:rsid w:val="00001FAF"/>
    <w:rsid w:val="000040AA"/>
    <w:rsid w:val="00004D1B"/>
    <w:rsid w:val="00006F87"/>
    <w:rsid w:val="00007005"/>
    <w:rsid w:val="000103E2"/>
    <w:rsid w:val="0001072D"/>
    <w:rsid w:val="00010A2F"/>
    <w:rsid w:val="000119F9"/>
    <w:rsid w:val="00011F98"/>
    <w:rsid w:val="00012BE5"/>
    <w:rsid w:val="00013FD9"/>
    <w:rsid w:val="00015EDA"/>
    <w:rsid w:val="000179E2"/>
    <w:rsid w:val="000223B4"/>
    <w:rsid w:val="000236CB"/>
    <w:rsid w:val="000237D3"/>
    <w:rsid w:val="0002414E"/>
    <w:rsid w:val="00026493"/>
    <w:rsid w:val="00033A24"/>
    <w:rsid w:val="00034A04"/>
    <w:rsid w:val="00037100"/>
    <w:rsid w:val="00037664"/>
    <w:rsid w:val="00043238"/>
    <w:rsid w:val="00044968"/>
    <w:rsid w:val="00045C15"/>
    <w:rsid w:val="000469D7"/>
    <w:rsid w:val="0004721A"/>
    <w:rsid w:val="000541B7"/>
    <w:rsid w:val="000544B0"/>
    <w:rsid w:val="00054763"/>
    <w:rsid w:val="00054F8A"/>
    <w:rsid w:val="00055321"/>
    <w:rsid w:val="00056581"/>
    <w:rsid w:val="0006038B"/>
    <w:rsid w:val="00060A2B"/>
    <w:rsid w:val="00063151"/>
    <w:rsid w:val="0006379A"/>
    <w:rsid w:val="000637FA"/>
    <w:rsid w:val="000667ED"/>
    <w:rsid w:val="00070736"/>
    <w:rsid w:val="00071DE6"/>
    <w:rsid w:val="00072801"/>
    <w:rsid w:val="000742B5"/>
    <w:rsid w:val="00076377"/>
    <w:rsid w:val="00076EA8"/>
    <w:rsid w:val="000775A8"/>
    <w:rsid w:val="00080723"/>
    <w:rsid w:val="0008350E"/>
    <w:rsid w:val="00086388"/>
    <w:rsid w:val="00087164"/>
    <w:rsid w:val="00090035"/>
    <w:rsid w:val="000906B2"/>
    <w:rsid w:val="00091547"/>
    <w:rsid w:val="0009176C"/>
    <w:rsid w:val="0009198B"/>
    <w:rsid w:val="00091D80"/>
    <w:rsid w:val="00092426"/>
    <w:rsid w:val="00092F0E"/>
    <w:rsid w:val="00093E57"/>
    <w:rsid w:val="0009448F"/>
    <w:rsid w:val="00095097"/>
    <w:rsid w:val="000A06FD"/>
    <w:rsid w:val="000A2B23"/>
    <w:rsid w:val="000A2E8D"/>
    <w:rsid w:val="000A307F"/>
    <w:rsid w:val="000A3307"/>
    <w:rsid w:val="000A3511"/>
    <w:rsid w:val="000A37DE"/>
    <w:rsid w:val="000A7481"/>
    <w:rsid w:val="000A7BB2"/>
    <w:rsid w:val="000B0FB6"/>
    <w:rsid w:val="000B177A"/>
    <w:rsid w:val="000B1B05"/>
    <w:rsid w:val="000B1B68"/>
    <w:rsid w:val="000B2309"/>
    <w:rsid w:val="000B3BC6"/>
    <w:rsid w:val="000B4876"/>
    <w:rsid w:val="000B504C"/>
    <w:rsid w:val="000B722A"/>
    <w:rsid w:val="000B7AF3"/>
    <w:rsid w:val="000C0C97"/>
    <w:rsid w:val="000C2B2D"/>
    <w:rsid w:val="000C3ED3"/>
    <w:rsid w:val="000C4B5F"/>
    <w:rsid w:val="000C57D9"/>
    <w:rsid w:val="000C7BFD"/>
    <w:rsid w:val="000D062E"/>
    <w:rsid w:val="000D072D"/>
    <w:rsid w:val="000D1255"/>
    <w:rsid w:val="000D1E07"/>
    <w:rsid w:val="000D1F76"/>
    <w:rsid w:val="000D2C29"/>
    <w:rsid w:val="000D4B6F"/>
    <w:rsid w:val="000E0D4E"/>
    <w:rsid w:val="000E1B3C"/>
    <w:rsid w:val="000E735C"/>
    <w:rsid w:val="000F0773"/>
    <w:rsid w:val="000F0D69"/>
    <w:rsid w:val="000F2161"/>
    <w:rsid w:val="000F2EB7"/>
    <w:rsid w:val="000F3B78"/>
    <w:rsid w:val="000F3E2D"/>
    <w:rsid w:val="000F55C7"/>
    <w:rsid w:val="000F576F"/>
    <w:rsid w:val="000F5A5D"/>
    <w:rsid w:val="000F68FD"/>
    <w:rsid w:val="00106A11"/>
    <w:rsid w:val="00106E01"/>
    <w:rsid w:val="00107EA5"/>
    <w:rsid w:val="00110BD5"/>
    <w:rsid w:val="00112912"/>
    <w:rsid w:val="001149D2"/>
    <w:rsid w:val="00116D11"/>
    <w:rsid w:val="00121031"/>
    <w:rsid w:val="001225CD"/>
    <w:rsid w:val="00124E8E"/>
    <w:rsid w:val="00130739"/>
    <w:rsid w:val="00130A8A"/>
    <w:rsid w:val="00132F67"/>
    <w:rsid w:val="00134879"/>
    <w:rsid w:val="00144462"/>
    <w:rsid w:val="00147A1B"/>
    <w:rsid w:val="001578FA"/>
    <w:rsid w:val="0016079D"/>
    <w:rsid w:val="00162392"/>
    <w:rsid w:val="001631D1"/>
    <w:rsid w:val="00163979"/>
    <w:rsid w:val="00163E15"/>
    <w:rsid w:val="0016781D"/>
    <w:rsid w:val="00170BBC"/>
    <w:rsid w:val="0017181F"/>
    <w:rsid w:val="0017288E"/>
    <w:rsid w:val="00181FFC"/>
    <w:rsid w:val="001842F6"/>
    <w:rsid w:val="00184558"/>
    <w:rsid w:val="00185828"/>
    <w:rsid w:val="00185CAB"/>
    <w:rsid w:val="00186E46"/>
    <w:rsid w:val="00193272"/>
    <w:rsid w:val="0019364D"/>
    <w:rsid w:val="00197F47"/>
    <w:rsid w:val="001A133E"/>
    <w:rsid w:val="001A1438"/>
    <w:rsid w:val="001A14B8"/>
    <w:rsid w:val="001A5895"/>
    <w:rsid w:val="001B25E6"/>
    <w:rsid w:val="001B2C5D"/>
    <w:rsid w:val="001B3B05"/>
    <w:rsid w:val="001B3B09"/>
    <w:rsid w:val="001B5050"/>
    <w:rsid w:val="001B529E"/>
    <w:rsid w:val="001B62C9"/>
    <w:rsid w:val="001C0FC3"/>
    <w:rsid w:val="001C20F4"/>
    <w:rsid w:val="001C5055"/>
    <w:rsid w:val="001C535B"/>
    <w:rsid w:val="001C6E97"/>
    <w:rsid w:val="001D344D"/>
    <w:rsid w:val="001E0B87"/>
    <w:rsid w:val="001E291A"/>
    <w:rsid w:val="001E3F61"/>
    <w:rsid w:val="001E45AA"/>
    <w:rsid w:val="001E45D1"/>
    <w:rsid w:val="001E4CB1"/>
    <w:rsid w:val="001E6994"/>
    <w:rsid w:val="001F0B56"/>
    <w:rsid w:val="001F19BE"/>
    <w:rsid w:val="001F27F2"/>
    <w:rsid w:val="001F5F50"/>
    <w:rsid w:val="001F6397"/>
    <w:rsid w:val="00201060"/>
    <w:rsid w:val="002019E8"/>
    <w:rsid w:val="00202B4C"/>
    <w:rsid w:val="00203D62"/>
    <w:rsid w:val="00204AA2"/>
    <w:rsid w:val="0020676B"/>
    <w:rsid w:val="0020764E"/>
    <w:rsid w:val="0021104E"/>
    <w:rsid w:val="00211FF9"/>
    <w:rsid w:val="002160A5"/>
    <w:rsid w:val="00216959"/>
    <w:rsid w:val="00216E2D"/>
    <w:rsid w:val="00217220"/>
    <w:rsid w:val="00217E1D"/>
    <w:rsid w:val="0022119D"/>
    <w:rsid w:val="00221BAF"/>
    <w:rsid w:val="002252E7"/>
    <w:rsid w:val="002258D5"/>
    <w:rsid w:val="00226F8A"/>
    <w:rsid w:val="002331CD"/>
    <w:rsid w:val="002331DA"/>
    <w:rsid w:val="002336B1"/>
    <w:rsid w:val="002344E0"/>
    <w:rsid w:val="00234DAE"/>
    <w:rsid w:val="002351BC"/>
    <w:rsid w:val="00236852"/>
    <w:rsid w:val="00236B19"/>
    <w:rsid w:val="002462E5"/>
    <w:rsid w:val="00246A29"/>
    <w:rsid w:val="00246B19"/>
    <w:rsid w:val="002474B9"/>
    <w:rsid w:val="00247C7F"/>
    <w:rsid w:val="00247D41"/>
    <w:rsid w:val="00247E58"/>
    <w:rsid w:val="002526FE"/>
    <w:rsid w:val="00253342"/>
    <w:rsid w:val="00255A56"/>
    <w:rsid w:val="00260EAC"/>
    <w:rsid w:val="00265761"/>
    <w:rsid w:val="00265E56"/>
    <w:rsid w:val="00267C79"/>
    <w:rsid w:val="002700BD"/>
    <w:rsid w:val="00270D22"/>
    <w:rsid w:val="002727F1"/>
    <w:rsid w:val="0027327C"/>
    <w:rsid w:val="00274D84"/>
    <w:rsid w:val="002757CA"/>
    <w:rsid w:val="002810E9"/>
    <w:rsid w:val="00283CD7"/>
    <w:rsid w:val="002857D4"/>
    <w:rsid w:val="0028687A"/>
    <w:rsid w:val="0029071F"/>
    <w:rsid w:val="0029111C"/>
    <w:rsid w:val="002949AC"/>
    <w:rsid w:val="002953D2"/>
    <w:rsid w:val="0029619F"/>
    <w:rsid w:val="002976AA"/>
    <w:rsid w:val="00297ACB"/>
    <w:rsid w:val="002A0580"/>
    <w:rsid w:val="002A06DC"/>
    <w:rsid w:val="002A49AB"/>
    <w:rsid w:val="002A54E7"/>
    <w:rsid w:val="002A5FD7"/>
    <w:rsid w:val="002A602F"/>
    <w:rsid w:val="002A7FDA"/>
    <w:rsid w:val="002B287A"/>
    <w:rsid w:val="002B3752"/>
    <w:rsid w:val="002B621F"/>
    <w:rsid w:val="002C2F76"/>
    <w:rsid w:val="002C34E3"/>
    <w:rsid w:val="002C4AB7"/>
    <w:rsid w:val="002D261E"/>
    <w:rsid w:val="002D2993"/>
    <w:rsid w:val="002D3120"/>
    <w:rsid w:val="002D3397"/>
    <w:rsid w:val="002D4458"/>
    <w:rsid w:val="002D58C1"/>
    <w:rsid w:val="002D599F"/>
    <w:rsid w:val="002D63AE"/>
    <w:rsid w:val="002E0122"/>
    <w:rsid w:val="002E06FA"/>
    <w:rsid w:val="002E3A88"/>
    <w:rsid w:val="002E6F70"/>
    <w:rsid w:val="002F1E32"/>
    <w:rsid w:val="002F3F7E"/>
    <w:rsid w:val="002F4C2A"/>
    <w:rsid w:val="002F4E1C"/>
    <w:rsid w:val="002F6F7E"/>
    <w:rsid w:val="0030350B"/>
    <w:rsid w:val="0030527B"/>
    <w:rsid w:val="00305D47"/>
    <w:rsid w:val="0030640D"/>
    <w:rsid w:val="00306DB8"/>
    <w:rsid w:val="00307A17"/>
    <w:rsid w:val="00311368"/>
    <w:rsid w:val="00313BFB"/>
    <w:rsid w:val="00317F65"/>
    <w:rsid w:val="00320056"/>
    <w:rsid w:val="00320C0B"/>
    <w:rsid w:val="003240F7"/>
    <w:rsid w:val="00324D2B"/>
    <w:rsid w:val="00325BCB"/>
    <w:rsid w:val="00325F59"/>
    <w:rsid w:val="003276F2"/>
    <w:rsid w:val="00327B13"/>
    <w:rsid w:val="00332AD3"/>
    <w:rsid w:val="00334759"/>
    <w:rsid w:val="00336A00"/>
    <w:rsid w:val="00336D73"/>
    <w:rsid w:val="00341C74"/>
    <w:rsid w:val="0034582A"/>
    <w:rsid w:val="00350BEF"/>
    <w:rsid w:val="003532AC"/>
    <w:rsid w:val="00353531"/>
    <w:rsid w:val="00353F3D"/>
    <w:rsid w:val="0035559F"/>
    <w:rsid w:val="003568F2"/>
    <w:rsid w:val="003609F9"/>
    <w:rsid w:val="00360E1A"/>
    <w:rsid w:val="00365968"/>
    <w:rsid w:val="00370F66"/>
    <w:rsid w:val="00371377"/>
    <w:rsid w:val="00371499"/>
    <w:rsid w:val="00372A11"/>
    <w:rsid w:val="00373117"/>
    <w:rsid w:val="00375BE7"/>
    <w:rsid w:val="0038056D"/>
    <w:rsid w:val="00381A91"/>
    <w:rsid w:val="00381EF3"/>
    <w:rsid w:val="00382509"/>
    <w:rsid w:val="003842C2"/>
    <w:rsid w:val="003877DA"/>
    <w:rsid w:val="003930BD"/>
    <w:rsid w:val="00394088"/>
    <w:rsid w:val="00394BD6"/>
    <w:rsid w:val="00394D5A"/>
    <w:rsid w:val="00397DDA"/>
    <w:rsid w:val="003A06E3"/>
    <w:rsid w:val="003A64F3"/>
    <w:rsid w:val="003B0F3D"/>
    <w:rsid w:val="003B327F"/>
    <w:rsid w:val="003B5199"/>
    <w:rsid w:val="003B5389"/>
    <w:rsid w:val="003B6BA7"/>
    <w:rsid w:val="003C4404"/>
    <w:rsid w:val="003C45CB"/>
    <w:rsid w:val="003D1BAE"/>
    <w:rsid w:val="003D1BFB"/>
    <w:rsid w:val="003D3CA8"/>
    <w:rsid w:val="003D6351"/>
    <w:rsid w:val="003E2F60"/>
    <w:rsid w:val="003E373B"/>
    <w:rsid w:val="003E4D0E"/>
    <w:rsid w:val="003E6C4B"/>
    <w:rsid w:val="003F30DC"/>
    <w:rsid w:val="003F4841"/>
    <w:rsid w:val="003F4BCD"/>
    <w:rsid w:val="003F6E97"/>
    <w:rsid w:val="003F7BAD"/>
    <w:rsid w:val="0040045A"/>
    <w:rsid w:val="004006AC"/>
    <w:rsid w:val="0040107F"/>
    <w:rsid w:val="00407265"/>
    <w:rsid w:val="00415FA8"/>
    <w:rsid w:val="00421C6E"/>
    <w:rsid w:val="00422138"/>
    <w:rsid w:val="00422383"/>
    <w:rsid w:val="00422B2B"/>
    <w:rsid w:val="00426477"/>
    <w:rsid w:val="004333A3"/>
    <w:rsid w:val="00433EA2"/>
    <w:rsid w:val="00435DC3"/>
    <w:rsid w:val="00442B91"/>
    <w:rsid w:val="00443634"/>
    <w:rsid w:val="004455F1"/>
    <w:rsid w:val="00450616"/>
    <w:rsid w:val="004509F1"/>
    <w:rsid w:val="004516CA"/>
    <w:rsid w:val="00454F24"/>
    <w:rsid w:val="004560E9"/>
    <w:rsid w:val="00460019"/>
    <w:rsid w:val="00462DEA"/>
    <w:rsid w:val="00464D1C"/>
    <w:rsid w:val="00464FDF"/>
    <w:rsid w:val="00465341"/>
    <w:rsid w:val="00465B32"/>
    <w:rsid w:val="004671D7"/>
    <w:rsid w:val="00470874"/>
    <w:rsid w:val="00472559"/>
    <w:rsid w:val="00473935"/>
    <w:rsid w:val="00476D06"/>
    <w:rsid w:val="004815C0"/>
    <w:rsid w:val="00481AF1"/>
    <w:rsid w:val="00481B1B"/>
    <w:rsid w:val="0048320C"/>
    <w:rsid w:val="00492394"/>
    <w:rsid w:val="00492ADE"/>
    <w:rsid w:val="00497D70"/>
    <w:rsid w:val="004A0B0C"/>
    <w:rsid w:val="004A1CF6"/>
    <w:rsid w:val="004A37A2"/>
    <w:rsid w:val="004A3D37"/>
    <w:rsid w:val="004A3EA7"/>
    <w:rsid w:val="004A7FB2"/>
    <w:rsid w:val="004B0605"/>
    <w:rsid w:val="004B0BD4"/>
    <w:rsid w:val="004B1DB4"/>
    <w:rsid w:val="004B2C33"/>
    <w:rsid w:val="004B7E0B"/>
    <w:rsid w:val="004C1BC3"/>
    <w:rsid w:val="004C3966"/>
    <w:rsid w:val="004C4C26"/>
    <w:rsid w:val="004C4C9A"/>
    <w:rsid w:val="004C5C75"/>
    <w:rsid w:val="004D3DA2"/>
    <w:rsid w:val="004D5272"/>
    <w:rsid w:val="004D63D2"/>
    <w:rsid w:val="004D6BDD"/>
    <w:rsid w:val="004E0412"/>
    <w:rsid w:val="004E09B2"/>
    <w:rsid w:val="004E2F0E"/>
    <w:rsid w:val="004E39A5"/>
    <w:rsid w:val="004E66A8"/>
    <w:rsid w:val="004E6CB1"/>
    <w:rsid w:val="004F2890"/>
    <w:rsid w:val="004F401C"/>
    <w:rsid w:val="004F4BBC"/>
    <w:rsid w:val="004F55BF"/>
    <w:rsid w:val="004F6DF9"/>
    <w:rsid w:val="004F778B"/>
    <w:rsid w:val="00505668"/>
    <w:rsid w:val="00505A16"/>
    <w:rsid w:val="005064D4"/>
    <w:rsid w:val="00506B58"/>
    <w:rsid w:val="0050770F"/>
    <w:rsid w:val="00510AAB"/>
    <w:rsid w:val="005112AD"/>
    <w:rsid w:val="00512FA1"/>
    <w:rsid w:val="00513427"/>
    <w:rsid w:val="00513959"/>
    <w:rsid w:val="005147F0"/>
    <w:rsid w:val="0051600C"/>
    <w:rsid w:val="0051723F"/>
    <w:rsid w:val="005204B6"/>
    <w:rsid w:val="00520769"/>
    <w:rsid w:val="0052480A"/>
    <w:rsid w:val="00525CD0"/>
    <w:rsid w:val="005270E2"/>
    <w:rsid w:val="00527755"/>
    <w:rsid w:val="00530FD8"/>
    <w:rsid w:val="00531E85"/>
    <w:rsid w:val="00532EC6"/>
    <w:rsid w:val="00533FF5"/>
    <w:rsid w:val="005353C5"/>
    <w:rsid w:val="005369B6"/>
    <w:rsid w:val="00546F94"/>
    <w:rsid w:val="0054717B"/>
    <w:rsid w:val="0055203A"/>
    <w:rsid w:val="00554D62"/>
    <w:rsid w:val="00555488"/>
    <w:rsid w:val="005565DD"/>
    <w:rsid w:val="0056029F"/>
    <w:rsid w:val="0056497C"/>
    <w:rsid w:val="00565CEC"/>
    <w:rsid w:val="00565E30"/>
    <w:rsid w:val="00566822"/>
    <w:rsid w:val="005720D9"/>
    <w:rsid w:val="005728D6"/>
    <w:rsid w:val="00582520"/>
    <w:rsid w:val="005827BF"/>
    <w:rsid w:val="0058552F"/>
    <w:rsid w:val="00590775"/>
    <w:rsid w:val="0059140D"/>
    <w:rsid w:val="0059306B"/>
    <w:rsid w:val="005949E4"/>
    <w:rsid w:val="00594A79"/>
    <w:rsid w:val="005950C1"/>
    <w:rsid w:val="00595FE9"/>
    <w:rsid w:val="005960C8"/>
    <w:rsid w:val="00596FE9"/>
    <w:rsid w:val="00597265"/>
    <w:rsid w:val="0059743B"/>
    <w:rsid w:val="005A1EBF"/>
    <w:rsid w:val="005A307A"/>
    <w:rsid w:val="005A3728"/>
    <w:rsid w:val="005A4851"/>
    <w:rsid w:val="005A5E8E"/>
    <w:rsid w:val="005B0558"/>
    <w:rsid w:val="005B116A"/>
    <w:rsid w:val="005B2ED1"/>
    <w:rsid w:val="005B40E7"/>
    <w:rsid w:val="005B5650"/>
    <w:rsid w:val="005B57EF"/>
    <w:rsid w:val="005B7183"/>
    <w:rsid w:val="005B7FA8"/>
    <w:rsid w:val="005C195A"/>
    <w:rsid w:val="005C238E"/>
    <w:rsid w:val="005C4F79"/>
    <w:rsid w:val="005C7C82"/>
    <w:rsid w:val="005D0B0D"/>
    <w:rsid w:val="005D0F76"/>
    <w:rsid w:val="005D3809"/>
    <w:rsid w:val="005D4460"/>
    <w:rsid w:val="005D6E4B"/>
    <w:rsid w:val="005E014B"/>
    <w:rsid w:val="005E312E"/>
    <w:rsid w:val="005E5E6B"/>
    <w:rsid w:val="005E74D8"/>
    <w:rsid w:val="005F63FA"/>
    <w:rsid w:val="005F6F4B"/>
    <w:rsid w:val="00601A88"/>
    <w:rsid w:val="00601B85"/>
    <w:rsid w:val="00611C38"/>
    <w:rsid w:val="006125A0"/>
    <w:rsid w:val="006143EB"/>
    <w:rsid w:val="00617B46"/>
    <w:rsid w:val="00620F8B"/>
    <w:rsid w:val="006235BC"/>
    <w:rsid w:val="0062379B"/>
    <w:rsid w:val="00623FB3"/>
    <w:rsid w:val="0062664E"/>
    <w:rsid w:val="00626697"/>
    <w:rsid w:val="00627F34"/>
    <w:rsid w:val="00630248"/>
    <w:rsid w:val="00631C5F"/>
    <w:rsid w:val="00631EE1"/>
    <w:rsid w:val="006338AF"/>
    <w:rsid w:val="0063514A"/>
    <w:rsid w:val="00637D08"/>
    <w:rsid w:val="00642362"/>
    <w:rsid w:val="00643F03"/>
    <w:rsid w:val="00646FB6"/>
    <w:rsid w:val="00647E03"/>
    <w:rsid w:val="00650EEC"/>
    <w:rsid w:val="0065300D"/>
    <w:rsid w:val="006578BC"/>
    <w:rsid w:val="00657ADA"/>
    <w:rsid w:val="00660A30"/>
    <w:rsid w:val="00660BF6"/>
    <w:rsid w:val="00661F5A"/>
    <w:rsid w:val="00662973"/>
    <w:rsid w:val="006648E1"/>
    <w:rsid w:val="00664BC0"/>
    <w:rsid w:val="0066507C"/>
    <w:rsid w:val="006671A3"/>
    <w:rsid w:val="00672D97"/>
    <w:rsid w:val="006746EC"/>
    <w:rsid w:val="00676850"/>
    <w:rsid w:val="00682DCC"/>
    <w:rsid w:val="0068320F"/>
    <w:rsid w:val="0068404D"/>
    <w:rsid w:val="006851D6"/>
    <w:rsid w:val="006855D8"/>
    <w:rsid w:val="00686728"/>
    <w:rsid w:val="0068683D"/>
    <w:rsid w:val="00687B83"/>
    <w:rsid w:val="006913A2"/>
    <w:rsid w:val="00691B8A"/>
    <w:rsid w:val="00694992"/>
    <w:rsid w:val="006962F3"/>
    <w:rsid w:val="006977EE"/>
    <w:rsid w:val="006A28E2"/>
    <w:rsid w:val="006A2F68"/>
    <w:rsid w:val="006A3C88"/>
    <w:rsid w:val="006A3E1B"/>
    <w:rsid w:val="006A6788"/>
    <w:rsid w:val="006B0370"/>
    <w:rsid w:val="006B09CF"/>
    <w:rsid w:val="006B3729"/>
    <w:rsid w:val="006B3C17"/>
    <w:rsid w:val="006B3EE8"/>
    <w:rsid w:val="006B64AF"/>
    <w:rsid w:val="006B7DF6"/>
    <w:rsid w:val="006C1E10"/>
    <w:rsid w:val="006C415F"/>
    <w:rsid w:val="006D35BE"/>
    <w:rsid w:val="006D4004"/>
    <w:rsid w:val="006D7499"/>
    <w:rsid w:val="006E3396"/>
    <w:rsid w:val="006F0018"/>
    <w:rsid w:val="006F1F8C"/>
    <w:rsid w:val="006F4671"/>
    <w:rsid w:val="006F46D0"/>
    <w:rsid w:val="006F5EC8"/>
    <w:rsid w:val="006F6C5E"/>
    <w:rsid w:val="006F72B8"/>
    <w:rsid w:val="007014C3"/>
    <w:rsid w:val="00703873"/>
    <w:rsid w:val="00704BB1"/>
    <w:rsid w:val="007061C8"/>
    <w:rsid w:val="0071167E"/>
    <w:rsid w:val="0071313E"/>
    <w:rsid w:val="007144F2"/>
    <w:rsid w:val="00715130"/>
    <w:rsid w:val="0071594E"/>
    <w:rsid w:val="007167A2"/>
    <w:rsid w:val="007174F4"/>
    <w:rsid w:val="00720FF1"/>
    <w:rsid w:val="007210F6"/>
    <w:rsid w:val="00721806"/>
    <w:rsid w:val="00726DCE"/>
    <w:rsid w:val="00731351"/>
    <w:rsid w:val="00731418"/>
    <w:rsid w:val="007340E2"/>
    <w:rsid w:val="00734BB0"/>
    <w:rsid w:val="00735E40"/>
    <w:rsid w:val="00735F73"/>
    <w:rsid w:val="00743D27"/>
    <w:rsid w:val="007456BE"/>
    <w:rsid w:val="00752616"/>
    <w:rsid w:val="00752B36"/>
    <w:rsid w:val="007538B8"/>
    <w:rsid w:val="007547AA"/>
    <w:rsid w:val="00756000"/>
    <w:rsid w:val="007578C2"/>
    <w:rsid w:val="007606E2"/>
    <w:rsid w:val="00760D06"/>
    <w:rsid w:val="00761D84"/>
    <w:rsid w:val="00764769"/>
    <w:rsid w:val="00766B7E"/>
    <w:rsid w:val="0076770E"/>
    <w:rsid w:val="007739EE"/>
    <w:rsid w:val="00774229"/>
    <w:rsid w:val="007769FF"/>
    <w:rsid w:val="007775C0"/>
    <w:rsid w:val="00777AE1"/>
    <w:rsid w:val="007825FF"/>
    <w:rsid w:val="0078298B"/>
    <w:rsid w:val="00786FC1"/>
    <w:rsid w:val="00787883"/>
    <w:rsid w:val="00790024"/>
    <w:rsid w:val="00790AB1"/>
    <w:rsid w:val="0079103E"/>
    <w:rsid w:val="007915B0"/>
    <w:rsid w:val="00792CD9"/>
    <w:rsid w:val="00794B2F"/>
    <w:rsid w:val="00794F7B"/>
    <w:rsid w:val="007962EB"/>
    <w:rsid w:val="007A460A"/>
    <w:rsid w:val="007A4D3F"/>
    <w:rsid w:val="007A529A"/>
    <w:rsid w:val="007A596C"/>
    <w:rsid w:val="007A7F0D"/>
    <w:rsid w:val="007B1A24"/>
    <w:rsid w:val="007B1C0A"/>
    <w:rsid w:val="007B2392"/>
    <w:rsid w:val="007B4907"/>
    <w:rsid w:val="007B6333"/>
    <w:rsid w:val="007B7086"/>
    <w:rsid w:val="007C1902"/>
    <w:rsid w:val="007C2252"/>
    <w:rsid w:val="007C4077"/>
    <w:rsid w:val="007C6284"/>
    <w:rsid w:val="007D0DC6"/>
    <w:rsid w:val="007D556F"/>
    <w:rsid w:val="007D5FBE"/>
    <w:rsid w:val="007D6BE7"/>
    <w:rsid w:val="007D6CB9"/>
    <w:rsid w:val="007E10CF"/>
    <w:rsid w:val="007E1112"/>
    <w:rsid w:val="007E2045"/>
    <w:rsid w:val="007E55A8"/>
    <w:rsid w:val="007E634E"/>
    <w:rsid w:val="007E6CED"/>
    <w:rsid w:val="007E72BD"/>
    <w:rsid w:val="008007F3"/>
    <w:rsid w:val="00800EB6"/>
    <w:rsid w:val="008019C5"/>
    <w:rsid w:val="00803717"/>
    <w:rsid w:val="00804259"/>
    <w:rsid w:val="008061E5"/>
    <w:rsid w:val="00811036"/>
    <w:rsid w:val="008113E2"/>
    <w:rsid w:val="00812F4D"/>
    <w:rsid w:val="008207D6"/>
    <w:rsid w:val="008225BE"/>
    <w:rsid w:val="00824BC7"/>
    <w:rsid w:val="008252D2"/>
    <w:rsid w:val="00831297"/>
    <w:rsid w:val="00831B73"/>
    <w:rsid w:val="008340D7"/>
    <w:rsid w:val="00834A00"/>
    <w:rsid w:val="00837058"/>
    <w:rsid w:val="008406E2"/>
    <w:rsid w:val="00843B48"/>
    <w:rsid w:val="00845EAF"/>
    <w:rsid w:val="00852C3F"/>
    <w:rsid w:val="008535B7"/>
    <w:rsid w:val="00853CAA"/>
    <w:rsid w:val="0085412F"/>
    <w:rsid w:val="008554BD"/>
    <w:rsid w:val="008560AB"/>
    <w:rsid w:val="0086535B"/>
    <w:rsid w:val="00865B5A"/>
    <w:rsid w:val="00867125"/>
    <w:rsid w:val="008705BD"/>
    <w:rsid w:val="00870980"/>
    <w:rsid w:val="008710E2"/>
    <w:rsid w:val="0087126C"/>
    <w:rsid w:val="0087187C"/>
    <w:rsid w:val="00872A17"/>
    <w:rsid w:val="00874750"/>
    <w:rsid w:val="008804E1"/>
    <w:rsid w:val="00884487"/>
    <w:rsid w:val="00885C6A"/>
    <w:rsid w:val="00886467"/>
    <w:rsid w:val="0088717F"/>
    <w:rsid w:val="00896388"/>
    <w:rsid w:val="00896606"/>
    <w:rsid w:val="0089695E"/>
    <w:rsid w:val="008A3051"/>
    <w:rsid w:val="008A53D4"/>
    <w:rsid w:val="008A596D"/>
    <w:rsid w:val="008A74C4"/>
    <w:rsid w:val="008B0092"/>
    <w:rsid w:val="008B3AD0"/>
    <w:rsid w:val="008B46A3"/>
    <w:rsid w:val="008B5ADD"/>
    <w:rsid w:val="008B5D57"/>
    <w:rsid w:val="008B606D"/>
    <w:rsid w:val="008B634A"/>
    <w:rsid w:val="008B66EA"/>
    <w:rsid w:val="008C06E4"/>
    <w:rsid w:val="008D297D"/>
    <w:rsid w:val="008D4A01"/>
    <w:rsid w:val="008E29AD"/>
    <w:rsid w:val="008E4095"/>
    <w:rsid w:val="008E7AD5"/>
    <w:rsid w:val="008F1B3E"/>
    <w:rsid w:val="008F3D56"/>
    <w:rsid w:val="008F54E2"/>
    <w:rsid w:val="00901F6B"/>
    <w:rsid w:val="00903581"/>
    <w:rsid w:val="00905BD2"/>
    <w:rsid w:val="0090785C"/>
    <w:rsid w:val="00910BAA"/>
    <w:rsid w:val="009113BD"/>
    <w:rsid w:val="00912F4A"/>
    <w:rsid w:val="00913811"/>
    <w:rsid w:val="00914FA0"/>
    <w:rsid w:val="00915AD4"/>
    <w:rsid w:val="00915C65"/>
    <w:rsid w:val="00920699"/>
    <w:rsid w:val="00920AAB"/>
    <w:rsid w:val="00921205"/>
    <w:rsid w:val="00921F7B"/>
    <w:rsid w:val="0092230F"/>
    <w:rsid w:val="00922ECF"/>
    <w:rsid w:val="00926950"/>
    <w:rsid w:val="00926DE9"/>
    <w:rsid w:val="00933DC6"/>
    <w:rsid w:val="00936229"/>
    <w:rsid w:val="00937C39"/>
    <w:rsid w:val="00940523"/>
    <w:rsid w:val="00940964"/>
    <w:rsid w:val="009444B0"/>
    <w:rsid w:val="009464AF"/>
    <w:rsid w:val="00947545"/>
    <w:rsid w:val="009501C9"/>
    <w:rsid w:val="00950754"/>
    <w:rsid w:val="009512DF"/>
    <w:rsid w:val="00952F09"/>
    <w:rsid w:val="00953C35"/>
    <w:rsid w:val="00955898"/>
    <w:rsid w:val="00956131"/>
    <w:rsid w:val="00956972"/>
    <w:rsid w:val="00957E70"/>
    <w:rsid w:val="00960487"/>
    <w:rsid w:val="00961F0A"/>
    <w:rsid w:val="009671CC"/>
    <w:rsid w:val="009672AE"/>
    <w:rsid w:val="00967763"/>
    <w:rsid w:val="00971582"/>
    <w:rsid w:val="009735C4"/>
    <w:rsid w:val="009754B8"/>
    <w:rsid w:val="009763CA"/>
    <w:rsid w:val="009765A7"/>
    <w:rsid w:val="00977279"/>
    <w:rsid w:val="009773D1"/>
    <w:rsid w:val="00982407"/>
    <w:rsid w:val="009907E8"/>
    <w:rsid w:val="0099110D"/>
    <w:rsid w:val="00994512"/>
    <w:rsid w:val="00995276"/>
    <w:rsid w:val="009977CC"/>
    <w:rsid w:val="009A0046"/>
    <w:rsid w:val="009A354C"/>
    <w:rsid w:val="009A4508"/>
    <w:rsid w:val="009B020E"/>
    <w:rsid w:val="009B1764"/>
    <w:rsid w:val="009B2246"/>
    <w:rsid w:val="009B2ED8"/>
    <w:rsid w:val="009B4178"/>
    <w:rsid w:val="009B494F"/>
    <w:rsid w:val="009C007B"/>
    <w:rsid w:val="009C0212"/>
    <w:rsid w:val="009C172D"/>
    <w:rsid w:val="009C2D0D"/>
    <w:rsid w:val="009C3187"/>
    <w:rsid w:val="009C52EE"/>
    <w:rsid w:val="009C5E6D"/>
    <w:rsid w:val="009C6E99"/>
    <w:rsid w:val="009D01DC"/>
    <w:rsid w:val="009D1557"/>
    <w:rsid w:val="009D4B40"/>
    <w:rsid w:val="009D7FC0"/>
    <w:rsid w:val="009E0AB0"/>
    <w:rsid w:val="009E2C52"/>
    <w:rsid w:val="009E7547"/>
    <w:rsid w:val="009F00D9"/>
    <w:rsid w:val="009F05D9"/>
    <w:rsid w:val="009F1DA1"/>
    <w:rsid w:val="009F1EFB"/>
    <w:rsid w:val="009F2E54"/>
    <w:rsid w:val="009F4BF9"/>
    <w:rsid w:val="009F5B45"/>
    <w:rsid w:val="00A01EC0"/>
    <w:rsid w:val="00A067CC"/>
    <w:rsid w:val="00A069D9"/>
    <w:rsid w:val="00A112E3"/>
    <w:rsid w:val="00A11B72"/>
    <w:rsid w:val="00A13D97"/>
    <w:rsid w:val="00A14FBF"/>
    <w:rsid w:val="00A222CA"/>
    <w:rsid w:val="00A2526D"/>
    <w:rsid w:val="00A255F1"/>
    <w:rsid w:val="00A27EA8"/>
    <w:rsid w:val="00A302C0"/>
    <w:rsid w:val="00A33340"/>
    <w:rsid w:val="00A3502A"/>
    <w:rsid w:val="00A3654F"/>
    <w:rsid w:val="00A4064E"/>
    <w:rsid w:val="00A40B24"/>
    <w:rsid w:val="00A432FB"/>
    <w:rsid w:val="00A44BB3"/>
    <w:rsid w:val="00A464C4"/>
    <w:rsid w:val="00A46B48"/>
    <w:rsid w:val="00A46FF8"/>
    <w:rsid w:val="00A476FE"/>
    <w:rsid w:val="00A500BF"/>
    <w:rsid w:val="00A5596D"/>
    <w:rsid w:val="00A60AE1"/>
    <w:rsid w:val="00A66991"/>
    <w:rsid w:val="00A70BD4"/>
    <w:rsid w:val="00A72740"/>
    <w:rsid w:val="00A8128D"/>
    <w:rsid w:val="00A8150B"/>
    <w:rsid w:val="00A81E07"/>
    <w:rsid w:val="00A82D82"/>
    <w:rsid w:val="00A844D8"/>
    <w:rsid w:val="00A9270A"/>
    <w:rsid w:val="00A9292B"/>
    <w:rsid w:val="00A9665C"/>
    <w:rsid w:val="00A9770C"/>
    <w:rsid w:val="00AA046B"/>
    <w:rsid w:val="00AA04C5"/>
    <w:rsid w:val="00AA05FD"/>
    <w:rsid w:val="00AA0B7B"/>
    <w:rsid w:val="00AA2824"/>
    <w:rsid w:val="00AA29F6"/>
    <w:rsid w:val="00AA35B8"/>
    <w:rsid w:val="00AA4B87"/>
    <w:rsid w:val="00AA4F19"/>
    <w:rsid w:val="00AA6BD8"/>
    <w:rsid w:val="00AB3DE0"/>
    <w:rsid w:val="00AC0055"/>
    <w:rsid w:val="00AC4B44"/>
    <w:rsid w:val="00AC4C79"/>
    <w:rsid w:val="00AC631E"/>
    <w:rsid w:val="00AC7E2D"/>
    <w:rsid w:val="00AD0AE4"/>
    <w:rsid w:val="00AD1C23"/>
    <w:rsid w:val="00AD1F2E"/>
    <w:rsid w:val="00AD3847"/>
    <w:rsid w:val="00AD40C7"/>
    <w:rsid w:val="00AD4B16"/>
    <w:rsid w:val="00AD7AA6"/>
    <w:rsid w:val="00AE020A"/>
    <w:rsid w:val="00AE3365"/>
    <w:rsid w:val="00AE3E4B"/>
    <w:rsid w:val="00AE4E58"/>
    <w:rsid w:val="00AE54C4"/>
    <w:rsid w:val="00AE7D90"/>
    <w:rsid w:val="00AF071E"/>
    <w:rsid w:val="00AF10C0"/>
    <w:rsid w:val="00AF4E90"/>
    <w:rsid w:val="00AF50DA"/>
    <w:rsid w:val="00B04183"/>
    <w:rsid w:val="00B07AE6"/>
    <w:rsid w:val="00B10988"/>
    <w:rsid w:val="00B1130A"/>
    <w:rsid w:val="00B11A9B"/>
    <w:rsid w:val="00B1412F"/>
    <w:rsid w:val="00B145E9"/>
    <w:rsid w:val="00B1553F"/>
    <w:rsid w:val="00B1566E"/>
    <w:rsid w:val="00B16027"/>
    <w:rsid w:val="00B2081C"/>
    <w:rsid w:val="00B22AA7"/>
    <w:rsid w:val="00B238A9"/>
    <w:rsid w:val="00B25CF5"/>
    <w:rsid w:val="00B277C8"/>
    <w:rsid w:val="00B3220B"/>
    <w:rsid w:val="00B33C69"/>
    <w:rsid w:val="00B3520B"/>
    <w:rsid w:val="00B352A3"/>
    <w:rsid w:val="00B354D7"/>
    <w:rsid w:val="00B36005"/>
    <w:rsid w:val="00B360B5"/>
    <w:rsid w:val="00B379B2"/>
    <w:rsid w:val="00B406C0"/>
    <w:rsid w:val="00B43816"/>
    <w:rsid w:val="00B439FA"/>
    <w:rsid w:val="00B451C6"/>
    <w:rsid w:val="00B45448"/>
    <w:rsid w:val="00B457DA"/>
    <w:rsid w:val="00B45F37"/>
    <w:rsid w:val="00B46D17"/>
    <w:rsid w:val="00B50F34"/>
    <w:rsid w:val="00B53027"/>
    <w:rsid w:val="00B53808"/>
    <w:rsid w:val="00B54890"/>
    <w:rsid w:val="00B554DB"/>
    <w:rsid w:val="00B572FA"/>
    <w:rsid w:val="00B61570"/>
    <w:rsid w:val="00B65528"/>
    <w:rsid w:val="00B658DE"/>
    <w:rsid w:val="00B65DDA"/>
    <w:rsid w:val="00B722CC"/>
    <w:rsid w:val="00B72C5B"/>
    <w:rsid w:val="00B74578"/>
    <w:rsid w:val="00B77F86"/>
    <w:rsid w:val="00B80DF7"/>
    <w:rsid w:val="00B81BF0"/>
    <w:rsid w:val="00B82FEB"/>
    <w:rsid w:val="00B839D4"/>
    <w:rsid w:val="00B83DE1"/>
    <w:rsid w:val="00B8674F"/>
    <w:rsid w:val="00B86F91"/>
    <w:rsid w:val="00B918AB"/>
    <w:rsid w:val="00BA2425"/>
    <w:rsid w:val="00BA49B7"/>
    <w:rsid w:val="00BA7ADC"/>
    <w:rsid w:val="00BB3CE2"/>
    <w:rsid w:val="00BB782C"/>
    <w:rsid w:val="00BC3EFA"/>
    <w:rsid w:val="00BC7F78"/>
    <w:rsid w:val="00BD6159"/>
    <w:rsid w:val="00BD6845"/>
    <w:rsid w:val="00BD7974"/>
    <w:rsid w:val="00BD7DCC"/>
    <w:rsid w:val="00BE02D9"/>
    <w:rsid w:val="00BE1D2E"/>
    <w:rsid w:val="00BE39C2"/>
    <w:rsid w:val="00BE4F65"/>
    <w:rsid w:val="00BE63C7"/>
    <w:rsid w:val="00BE6EC8"/>
    <w:rsid w:val="00BF1322"/>
    <w:rsid w:val="00BF1BE7"/>
    <w:rsid w:val="00BF1FFA"/>
    <w:rsid w:val="00C0098F"/>
    <w:rsid w:val="00C04118"/>
    <w:rsid w:val="00C04346"/>
    <w:rsid w:val="00C04471"/>
    <w:rsid w:val="00C04F56"/>
    <w:rsid w:val="00C05F67"/>
    <w:rsid w:val="00C11C31"/>
    <w:rsid w:val="00C129B2"/>
    <w:rsid w:val="00C16A94"/>
    <w:rsid w:val="00C17FE7"/>
    <w:rsid w:val="00C20C45"/>
    <w:rsid w:val="00C21393"/>
    <w:rsid w:val="00C21A51"/>
    <w:rsid w:val="00C229DB"/>
    <w:rsid w:val="00C2521F"/>
    <w:rsid w:val="00C2580C"/>
    <w:rsid w:val="00C26367"/>
    <w:rsid w:val="00C27649"/>
    <w:rsid w:val="00C27762"/>
    <w:rsid w:val="00C27978"/>
    <w:rsid w:val="00C31D68"/>
    <w:rsid w:val="00C4526F"/>
    <w:rsid w:val="00C521BF"/>
    <w:rsid w:val="00C525AD"/>
    <w:rsid w:val="00C5289A"/>
    <w:rsid w:val="00C53096"/>
    <w:rsid w:val="00C55B38"/>
    <w:rsid w:val="00C56B91"/>
    <w:rsid w:val="00C57EF6"/>
    <w:rsid w:val="00C615CF"/>
    <w:rsid w:val="00C62BE9"/>
    <w:rsid w:val="00C63564"/>
    <w:rsid w:val="00C6506D"/>
    <w:rsid w:val="00C65756"/>
    <w:rsid w:val="00C72558"/>
    <w:rsid w:val="00C74D47"/>
    <w:rsid w:val="00C7571B"/>
    <w:rsid w:val="00C75A3A"/>
    <w:rsid w:val="00C761B9"/>
    <w:rsid w:val="00C77DA9"/>
    <w:rsid w:val="00C8027D"/>
    <w:rsid w:val="00C80C21"/>
    <w:rsid w:val="00C81763"/>
    <w:rsid w:val="00C818EF"/>
    <w:rsid w:val="00C905AB"/>
    <w:rsid w:val="00C91052"/>
    <w:rsid w:val="00C914E4"/>
    <w:rsid w:val="00C929ED"/>
    <w:rsid w:val="00C95DCC"/>
    <w:rsid w:val="00CA3532"/>
    <w:rsid w:val="00CA3704"/>
    <w:rsid w:val="00CA5061"/>
    <w:rsid w:val="00CA5D1B"/>
    <w:rsid w:val="00CB0E59"/>
    <w:rsid w:val="00CB1186"/>
    <w:rsid w:val="00CB637A"/>
    <w:rsid w:val="00CB65BF"/>
    <w:rsid w:val="00CB663D"/>
    <w:rsid w:val="00CB6BDF"/>
    <w:rsid w:val="00CB727D"/>
    <w:rsid w:val="00CC0E7E"/>
    <w:rsid w:val="00CC1132"/>
    <w:rsid w:val="00CC1556"/>
    <w:rsid w:val="00CC55DB"/>
    <w:rsid w:val="00CD2123"/>
    <w:rsid w:val="00CD2E51"/>
    <w:rsid w:val="00CD43F7"/>
    <w:rsid w:val="00CD733C"/>
    <w:rsid w:val="00CE03CE"/>
    <w:rsid w:val="00CE05BE"/>
    <w:rsid w:val="00CE7168"/>
    <w:rsid w:val="00CE786A"/>
    <w:rsid w:val="00CF30C0"/>
    <w:rsid w:val="00CF57C8"/>
    <w:rsid w:val="00CF7A34"/>
    <w:rsid w:val="00D03693"/>
    <w:rsid w:val="00D0388B"/>
    <w:rsid w:val="00D03D02"/>
    <w:rsid w:val="00D040E8"/>
    <w:rsid w:val="00D048ED"/>
    <w:rsid w:val="00D065BE"/>
    <w:rsid w:val="00D076AD"/>
    <w:rsid w:val="00D10CB5"/>
    <w:rsid w:val="00D11B71"/>
    <w:rsid w:val="00D130D7"/>
    <w:rsid w:val="00D15909"/>
    <w:rsid w:val="00D16D1D"/>
    <w:rsid w:val="00D17549"/>
    <w:rsid w:val="00D20AA3"/>
    <w:rsid w:val="00D20E02"/>
    <w:rsid w:val="00D32784"/>
    <w:rsid w:val="00D34375"/>
    <w:rsid w:val="00D374D4"/>
    <w:rsid w:val="00D403EE"/>
    <w:rsid w:val="00D40761"/>
    <w:rsid w:val="00D43567"/>
    <w:rsid w:val="00D4386A"/>
    <w:rsid w:val="00D53918"/>
    <w:rsid w:val="00D53D0F"/>
    <w:rsid w:val="00D57DE6"/>
    <w:rsid w:val="00D60413"/>
    <w:rsid w:val="00D6132F"/>
    <w:rsid w:val="00D621EE"/>
    <w:rsid w:val="00D63724"/>
    <w:rsid w:val="00D6489F"/>
    <w:rsid w:val="00D67CF4"/>
    <w:rsid w:val="00D708D4"/>
    <w:rsid w:val="00D7180D"/>
    <w:rsid w:val="00D72FEE"/>
    <w:rsid w:val="00D75DC5"/>
    <w:rsid w:val="00D8100B"/>
    <w:rsid w:val="00D8168C"/>
    <w:rsid w:val="00D819E4"/>
    <w:rsid w:val="00D81E50"/>
    <w:rsid w:val="00D83611"/>
    <w:rsid w:val="00D83694"/>
    <w:rsid w:val="00D83BC5"/>
    <w:rsid w:val="00D85A06"/>
    <w:rsid w:val="00D86F8B"/>
    <w:rsid w:val="00D9046B"/>
    <w:rsid w:val="00D91336"/>
    <w:rsid w:val="00D9582E"/>
    <w:rsid w:val="00D958AC"/>
    <w:rsid w:val="00DA3C5D"/>
    <w:rsid w:val="00DA3EE7"/>
    <w:rsid w:val="00DA7F31"/>
    <w:rsid w:val="00DB07DC"/>
    <w:rsid w:val="00DB1547"/>
    <w:rsid w:val="00DB35E4"/>
    <w:rsid w:val="00DB6736"/>
    <w:rsid w:val="00DB7461"/>
    <w:rsid w:val="00DB7C6C"/>
    <w:rsid w:val="00DC1F92"/>
    <w:rsid w:val="00DC3602"/>
    <w:rsid w:val="00DC3960"/>
    <w:rsid w:val="00DC3F10"/>
    <w:rsid w:val="00DC636A"/>
    <w:rsid w:val="00DC79CD"/>
    <w:rsid w:val="00DD149E"/>
    <w:rsid w:val="00DD17E1"/>
    <w:rsid w:val="00DD2A48"/>
    <w:rsid w:val="00DD337D"/>
    <w:rsid w:val="00DD37A4"/>
    <w:rsid w:val="00DD4A80"/>
    <w:rsid w:val="00DE27CD"/>
    <w:rsid w:val="00DE2CC1"/>
    <w:rsid w:val="00DE3ECC"/>
    <w:rsid w:val="00DE56FB"/>
    <w:rsid w:val="00DE602B"/>
    <w:rsid w:val="00DE7014"/>
    <w:rsid w:val="00DF59E8"/>
    <w:rsid w:val="00DF5B07"/>
    <w:rsid w:val="00DF6D75"/>
    <w:rsid w:val="00E00156"/>
    <w:rsid w:val="00E03668"/>
    <w:rsid w:val="00E05334"/>
    <w:rsid w:val="00E05F63"/>
    <w:rsid w:val="00E155D8"/>
    <w:rsid w:val="00E217A6"/>
    <w:rsid w:val="00E228E7"/>
    <w:rsid w:val="00E23896"/>
    <w:rsid w:val="00E25AA5"/>
    <w:rsid w:val="00E26FB5"/>
    <w:rsid w:val="00E31043"/>
    <w:rsid w:val="00E31588"/>
    <w:rsid w:val="00E3217B"/>
    <w:rsid w:val="00E3360A"/>
    <w:rsid w:val="00E33AD0"/>
    <w:rsid w:val="00E34224"/>
    <w:rsid w:val="00E34C26"/>
    <w:rsid w:val="00E36EE0"/>
    <w:rsid w:val="00E37A19"/>
    <w:rsid w:val="00E413D9"/>
    <w:rsid w:val="00E41FEF"/>
    <w:rsid w:val="00E456B0"/>
    <w:rsid w:val="00E45A0D"/>
    <w:rsid w:val="00E462B0"/>
    <w:rsid w:val="00E505E6"/>
    <w:rsid w:val="00E530F6"/>
    <w:rsid w:val="00E54B1D"/>
    <w:rsid w:val="00E61896"/>
    <w:rsid w:val="00E61E0B"/>
    <w:rsid w:val="00E62F92"/>
    <w:rsid w:val="00E63669"/>
    <w:rsid w:val="00E64280"/>
    <w:rsid w:val="00E64385"/>
    <w:rsid w:val="00E64B6D"/>
    <w:rsid w:val="00E66292"/>
    <w:rsid w:val="00E737D4"/>
    <w:rsid w:val="00E762AA"/>
    <w:rsid w:val="00E82750"/>
    <w:rsid w:val="00E82E9A"/>
    <w:rsid w:val="00E830E1"/>
    <w:rsid w:val="00E837CA"/>
    <w:rsid w:val="00E85118"/>
    <w:rsid w:val="00E87F86"/>
    <w:rsid w:val="00E912E0"/>
    <w:rsid w:val="00E91774"/>
    <w:rsid w:val="00E91E7F"/>
    <w:rsid w:val="00E92B9F"/>
    <w:rsid w:val="00E92F4B"/>
    <w:rsid w:val="00E94B32"/>
    <w:rsid w:val="00E95CEF"/>
    <w:rsid w:val="00EA3823"/>
    <w:rsid w:val="00EA53F0"/>
    <w:rsid w:val="00EA67F1"/>
    <w:rsid w:val="00EA7583"/>
    <w:rsid w:val="00EA7DB6"/>
    <w:rsid w:val="00EB01B8"/>
    <w:rsid w:val="00EB105D"/>
    <w:rsid w:val="00EB1409"/>
    <w:rsid w:val="00EB144C"/>
    <w:rsid w:val="00EB294C"/>
    <w:rsid w:val="00EB44DB"/>
    <w:rsid w:val="00EB53F9"/>
    <w:rsid w:val="00EB569C"/>
    <w:rsid w:val="00EB6B61"/>
    <w:rsid w:val="00EB6EA7"/>
    <w:rsid w:val="00EB7497"/>
    <w:rsid w:val="00EC1158"/>
    <w:rsid w:val="00EC1432"/>
    <w:rsid w:val="00EC26D4"/>
    <w:rsid w:val="00EC27F5"/>
    <w:rsid w:val="00EC42E0"/>
    <w:rsid w:val="00EC4673"/>
    <w:rsid w:val="00EC488D"/>
    <w:rsid w:val="00EC5856"/>
    <w:rsid w:val="00EC69F3"/>
    <w:rsid w:val="00EC7AED"/>
    <w:rsid w:val="00ED0122"/>
    <w:rsid w:val="00ED039B"/>
    <w:rsid w:val="00EE10E7"/>
    <w:rsid w:val="00EE2C34"/>
    <w:rsid w:val="00EE5F47"/>
    <w:rsid w:val="00EE670A"/>
    <w:rsid w:val="00EF2171"/>
    <w:rsid w:val="00EF3A55"/>
    <w:rsid w:val="00EF45BE"/>
    <w:rsid w:val="00EF62B7"/>
    <w:rsid w:val="00F0185B"/>
    <w:rsid w:val="00F02AF4"/>
    <w:rsid w:val="00F02E76"/>
    <w:rsid w:val="00F0755F"/>
    <w:rsid w:val="00F10B10"/>
    <w:rsid w:val="00F111A5"/>
    <w:rsid w:val="00F12F9E"/>
    <w:rsid w:val="00F136B5"/>
    <w:rsid w:val="00F17D99"/>
    <w:rsid w:val="00F21EB8"/>
    <w:rsid w:val="00F252FB"/>
    <w:rsid w:val="00F2761F"/>
    <w:rsid w:val="00F30A02"/>
    <w:rsid w:val="00F3297C"/>
    <w:rsid w:val="00F33474"/>
    <w:rsid w:val="00F35035"/>
    <w:rsid w:val="00F36A35"/>
    <w:rsid w:val="00F36EAE"/>
    <w:rsid w:val="00F37522"/>
    <w:rsid w:val="00F414E0"/>
    <w:rsid w:val="00F46BCD"/>
    <w:rsid w:val="00F51537"/>
    <w:rsid w:val="00F517DA"/>
    <w:rsid w:val="00F53968"/>
    <w:rsid w:val="00F54F69"/>
    <w:rsid w:val="00F611F1"/>
    <w:rsid w:val="00F63A34"/>
    <w:rsid w:val="00F63A79"/>
    <w:rsid w:val="00F71346"/>
    <w:rsid w:val="00F7614D"/>
    <w:rsid w:val="00F77F71"/>
    <w:rsid w:val="00F80C1E"/>
    <w:rsid w:val="00F80D55"/>
    <w:rsid w:val="00F81D0F"/>
    <w:rsid w:val="00F832D6"/>
    <w:rsid w:val="00F8521D"/>
    <w:rsid w:val="00F855D4"/>
    <w:rsid w:val="00F859F2"/>
    <w:rsid w:val="00F860B6"/>
    <w:rsid w:val="00F87F04"/>
    <w:rsid w:val="00F905AA"/>
    <w:rsid w:val="00F947F1"/>
    <w:rsid w:val="00F95554"/>
    <w:rsid w:val="00FA4B4A"/>
    <w:rsid w:val="00FA5E64"/>
    <w:rsid w:val="00FB05F7"/>
    <w:rsid w:val="00FB382C"/>
    <w:rsid w:val="00FB41AA"/>
    <w:rsid w:val="00FB48B3"/>
    <w:rsid w:val="00FB4E59"/>
    <w:rsid w:val="00FB7346"/>
    <w:rsid w:val="00FB7B90"/>
    <w:rsid w:val="00FB7EFC"/>
    <w:rsid w:val="00FC1572"/>
    <w:rsid w:val="00FC1B81"/>
    <w:rsid w:val="00FC2EFB"/>
    <w:rsid w:val="00FC3C71"/>
    <w:rsid w:val="00FC4E45"/>
    <w:rsid w:val="00FD0D6F"/>
    <w:rsid w:val="00FD424E"/>
    <w:rsid w:val="00FD448A"/>
    <w:rsid w:val="00FD527E"/>
    <w:rsid w:val="00FD6A7A"/>
    <w:rsid w:val="00FD7FC1"/>
    <w:rsid w:val="00FE1D1E"/>
    <w:rsid w:val="00FE3506"/>
    <w:rsid w:val="00FE5552"/>
    <w:rsid w:val="00FF0D2E"/>
    <w:rsid w:val="00FF19F3"/>
    <w:rsid w:val="00FF1E50"/>
    <w:rsid w:val="00FF5622"/>
    <w:rsid w:val="00FF5AAA"/>
    <w:rsid w:val="00FF5F10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6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E9A"/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E82E9A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E82E9A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E82E9A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qFormat/>
    <w:rsid w:val="00E82E9A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qFormat/>
    <w:rsid w:val="00E82E9A"/>
    <w:pPr>
      <w:numPr>
        <w:ilvl w:val="4"/>
        <w:numId w:val="2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qFormat/>
    <w:rsid w:val="00E82E9A"/>
    <w:pPr>
      <w:numPr>
        <w:ilvl w:val="5"/>
        <w:numId w:val="2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E82E9A"/>
    <w:pPr>
      <w:numPr>
        <w:ilvl w:val="6"/>
        <w:numId w:val="2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82E9A"/>
    <w:pPr>
      <w:numPr>
        <w:ilvl w:val="7"/>
        <w:numId w:val="2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E82E9A"/>
    <w:pPr>
      <w:numPr>
        <w:ilvl w:val="8"/>
        <w:numId w:val="2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E82E9A"/>
    <w:rPr>
      <w:b w:val="0"/>
    </w:rPr>
  </w:style>
  <w:style w:type="paragraph" w:customStyle="1" w:styleId="StylNormalny">
    <w:name w:val="Styl Normalny"/>
    <w:basedOn w:val="Normalny"/>
    <w:rsid w:val="00E82E9A"/>
    <w:pPr>
      <w:spacing w:before="240"/>
    </w:pPr>
  </w:style>
  <w:style w:type="paragraph" w:styleId="Nagwek">
    <w:name w:val="header"/>
    <w:aliases w:val="Nagłówek strony"/>
    <w:basedOn w:val="Normalny"/>
    <w:link w:val="NagwekZnak"/>
    <w:rsid w:val="00E82E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2E9A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E82E9A"/>
  </w:style>
  <w:style w:type="paragraph" w:customStyle="1" w:styleId="Tabela">
    <w:name w:val="Tabela"/>
    <w:basedOn w:val="Normalny"/>
    <w:link w:val="TabelaZnak"/>
    <w:rsid w:val="00E82E9A"/>
    <w:pPr>
      <w:spacing w:before="0"/>
      <w:jc w:val="center"/>
    </w:pPr>
  </w:style>
  <w:style w:type="paragraph" w:customStyle="1" w:styleId="TytuSST">
    <w:name w:val="Tytuł SST"/>
    <w:basedOn w:val="Normalny"/>
    <w:rsid w:val="00E82E9A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E82E9A"/>
    <w:pPr>
      <w:tabs>
        <w:tab w:val="left" w:pos="397"/>
        <w:tab w:val="left" w:pos="567"/>
        <w:tab w:val="left" w:pos="737"/>
      </w:tabs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E82E9A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E82E9A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E82E9A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E82E9A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E82E9A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E82E9A"/>
    <w:pPr>
      <w:spacing w:before="240"/>
    </w:pPr>
  </w:style>
  <w:style w:type="character" w:customStyle="1" w:styleId="Normal12Znak">
    <w:name w:val="Normal 12 Znak"/>
    <w:link w:val="Normal12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E82E9A"/>
    <w:pPr>
      <w:spacing w:before="240"/>
    </w:pPr>
  </w:style>
  <w:style w:type="character" w:customStyle="1" w:styleId="Normal1Znak">
    <w:name w:val="Normal 1 Znak"/>
    <w:link w:val="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E82E9A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E82E9A"/>
    <w:pPr>
      <w:tabs>
        <w:tab w:val="left" w:pos="340"/>
      </w:tabs>
      <w:spacing w:before="0"/>
    </w:pPr>
  </w:style>
  <w:style w:type="character" w:customStyle="1" w:styleId="ZnakZnak2">
    <w:name w:val="Znak Znak2"/>
    <w:rsid w:val="00E82E9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E82E9A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rsid w:val="00E82E9A"/>
    <w:pPr>
      <w:spacing w:after="120"/>
    </w:pPr>
  </w:style>
  <w:style w:type="character" w:styleId="Hipercze">
    <w:name w:val="Hyperlink"/>
    <w:uiPriority w:val="99"/>
    <w:rsid w:val="00E82E9A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E82E9A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E82E9A"/>
  </w:style>
  <w:style w:type="paragraph" w:customStyle="1" w:styleId="normalny0">
    <w:name w:val="normalny 0"/>
    <w:basedOn w:val="Normalny"/>
    <w:link w:val="normalny0Znak"/>
    <w:rsid w:val="00E82E9A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E82E9A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E82E9A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E82E9A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E82E9A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E82E9A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E82E9A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E82E9A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E82E9A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E82E9A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E82E9A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E82E9A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E82E9A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E82E9A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E82E9A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qFormat/>
    <w:rsid w:val="00E82E9A"/>
  </w:style>
  <w:style w:type="paragraph" w:customStyle="1" w:styleId="Kreska">
    <w:name w:val="Kreska"/>
    <w:basedOn w:val="Normalny"/>
    <w:rsid w:val="00E82E9A"/>
    <w:pPr>
      <w:ind w:left="284" w:hanging="284"/>
    </w:pPr>
  </w:style>
  <w:style w:type="paragraph" w:styleId="Lista">
    <w:name w:val="List"/>
    <w:basedOn w:val="Normalny"/>
    <w:rsid w:val="00E82E9A"/>
    <w:pPr>
      <w:ind w:left="283" w:hanging="283"/>
    </w:pPr>
  </w:style>
  <w:style w:type="paragraph" w:styleId="Lista2">
    <w:name w:val="List 2"/>
    <w:basedOn w:val="Normalny"/>
    <w:rsid w:val="00E82E9A"/>
    <w:pPr>
      <w:ind w:left="566" w:hanging="283"/>
    </w:pPr>
  </w:style>
  <w:style w:type="paragraph" w:customStyle="1" w:styleId="Standardowypodkrelony">
    <w:name w:val="Standardowy_podkreślony"/>
    <w:basedOn w:val="Normalny"/>
    <w:rsid w:val="00E82E9A"/>
    <w:rPr>
      <w:u w:val="single"/>
    </w:rPr>
  </w:style>
  <w:style w:type="paragraph" w:customStyle="1" w:styleId="Wzr">
    <w:name w:val="Wzór"/>
    <w:basedOn w:val="Normalny"/>
    <w:rsid w:val="00E82E9A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E82E9A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E82E9A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E82E9A"/>
    <w:pPr>
      <w:spacing w:before="0"/>
      <w:ind w:left="4252"/>
    </w:pPr>
  </w:style>
  <w:style w:type="paragraph" w:styleId="Adresnakopercie">
    <w:name w:val="envelope address"/>
    <w:basedOn w:val="Normalny"/>
    <w:rsid w:val="00E82E9A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E82E9A"/>
    <w:pPr>
      <w:ind w:firstLine="708"/>
    </w:pPr>
  </w:style>
  <w:style w:type="paragraph" w:styleId="Tekstpodstawowy2">
    <w:name w:val="Body Text 2"/>
    <w:basedOn w:val="Normalny"/>
    <w:link w:val="Tekstpodstawowy2Znak"/>
    <w:rsid w:val="00E82E9A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E82E9A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E82E9A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rsid w:val="00E82E9A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E82E9A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E82E9A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E82E9A"/>
    <w:pPr>
      <w:spacing w:before="100" w:beforeAutospacing="1" w:after="119"/>
    </w:pPr>
  </w:style>
  <w:style w:type="paragraph" w:customStyle="1" w:styleId="Tekstpodstawowy1">
    <w:name w:val="Tekst podstawowy1"/>
    <w:rsid w:val="00E82E9A"/>
    <w:pPr>
      <w:widowControl w:val="0"/>
      <w:suppressLineNumbers/>
      <w:suppressAutoHyphens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E82E9A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NORM0">
    <w:name w:val="NORM 0"/>
    <w:basedOn w:val="Normalny"/>
    <w:link w:val="NORM0Znak"/>
    <w:rsid w:val="00E82E9A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E82E9A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E82E9A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E82E9A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82E9A"/>
    <w:pPr>
      <w:spacing w:before="0"/>
    </w:pPr>
  </w:style>
  <w:style w:type="paragraph" w:styleId="Data">
    <w:name w:val="Date"/>
    <w:basedOn w:val="Normalny"/>
    <w:next w:val="Normalny"/>
    <w:link w:val="DataZnak"/>
    <w:rsid w:val="00E82E9A"/>
    <w:pPr>
      <w:spacing w:before="0"/>
      <w:jc w:val="left"/>
    </w:pPr>
  </w:style>
  <w:style w:type="paragraph" w:customStyle="1" w:styleId="Standardowytekst">
    <w:name w:val="Standardowy.tekst"/>
    <w:rsid w:val="00E82E9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7">
    <w:name w:val="7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ny1">
    <w:name w:val="Normalny1"/>
    <w:basedOn w:val="Normalny"/>
    <w:link w:val="normalZnak"/>
    <w:rsid w:val="00E82E9A"/>
    <w:pPr>
      <w:spacing w:before="240"/>
    </w:pPr>
  </w:style>
  <w:style w:type="character" w:customStyle="1" w:styleId="normalZnak">
    <w:name w:val="normal Znak"/>
    <w:link w:val="Normalny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E82E9A"/>
    <w:pPr>
      <w:spacing w:before="0"/>
    </w:pPr>
  </w:style>
  <w:style w:type="character" w:customStyle="1" w:styleId="Nagwek1Znak">
    <w:name w:val="Nagłówek 1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E82E9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E82E9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E82E9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E82E9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E82E9A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E82E9A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E82E9A"/>
    <w:pPr>
      <w:numPr>
        <w:numId w:val="4"/>
      </w:numPr>
    </w:pPr>
  </w:style>
  <w:style w:type="numbering" w:customStyle="1" w:styleId="Punktowane2">
    <w:name w:val="Punktowane2"/>
    <w:basedOn w:val="Bezlisty"/>
    <w:rsid w:val="00E82E9A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E82E9A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E82E9A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E82E9A"/>
    <w:rPr>
      <w:b w:val="0"/>
      <w:iCs w:val="0"/>
    </w:rPr>
  </w:style>
  <w:style w:type="paragraph" w:customStyle="1" w:styleId="Default">
    <w:name w:val="Default"/>
    <w:rsid w:val="00E82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E82E9A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E82E9A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E82E9A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E82E9A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E82E9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2E9A"/>
    <w:rPr>
      <w:szCs w:val="20"/>
    </w:rPr>
  </w:style>
  <w:style w:type="character" w:styleId="Odwoanieprzypisukocowego">
    <w:name w:val="endnote reference"/>
    <w:semiHidden/>
    <w:rsid w:val="00E82E9A"/>
    <w:rPr>
      <w:vertAlign w:val="superscript"/>
    </w:rPr>
  </w:style>
  <w:style w:type="character" w:styleId="Odwoanieprzypisudolnego">
    <w:name w:val="footnote reference"/>
    <w:aliases w:val="Footnote Reference/"/>
    <w:semiHidden/>
    <w:rsid w:val="00E8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2E9A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E82E9A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E82E9A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E82E9A"/>
    <w:rPr>
      <w:color w:val="800080"/>
      <w:u w:val="single"/>
    </w:rPr>
  </w:style>
  <w:style w:type="paragraph" w:customStyle="1" w:styleId="nagwek0">
    <w:name w:val="nagłówek"/>
    <w:basedOn w:val="Normalny"/>
    <w:link w:val="nagwekZnak0"/>
    <w:qFormat/>
    <w:rsid w:val="00631EE1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bCs w:val="0"/>
      <w:iCs w:val="0"/>
      <w:szCs w:val="18"/>
    </w:rPr>
  </w:style>
  <w:style w:type="character" w:customStyle="1" w:styleId="nagwekZnak0">
    <w:name w:val="nagłówek Znak"/>
    <w:link w:val="nagwek0"/>
    <w:rsid w:val="00631EE1"/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0"/>
    <w:rsid w:val="0059726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7265"/>
    <w:pPr>
      <w:shd w:val="clear" w:color="auto" w:fill="FFFFFF"/>
      <w:spacing w:before="120" w:after="120" w:line="206" w:lineRule="exact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2">
    <w:name w:val="Tekst treści (2)_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20">
    <w:name w:val="Nagłówek #2_"/>
    <w:link w:val="Nagwek21"/>
    <w:rsid w:val="00F95554"/>
    <w:rPr>
      <w:sz w:val="17"/>
      <w:szCs w:val="17"/>
      <w:shd w:val="clear" w:color="auto" w:fill="FFFFFF"/>
    </w:rPr>
  </w:style>
  <w:style w:type="character" w:customStyle="1" w:styleId="Teksttreci20">
    <w:name w:val="Tekst treści (2)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PogrubienieTeksttreci85pt">
    <w:name w:val="Pogrubienie;Tekst treści + 8;5 pt"/>
    <w:rsid w:val="00F95554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95554"/>
    <w:pPr>
      <w:shd w:val="clear" w:color="auto" w:fill="FFFFFF"/>
      <w:spacing w:before="0" w:after="240" w:line="0" w:lineRule="atLeast"/>
      <w:outlineLvl w:val="1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Kursywa">
    <w:name w:val="Tekst treści + Kursywa"/>
    <w:rsid w:val="00C929ED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Teksttreci55pt">
    <w:name w:val="Tekst treści + 5;5 pt"/>
    <w:rsid w:val="00664BC0"/>
    <w:rPr>
      <w:b w:val="0"/>
      <w:bCs w:val="0"/>
      <w:i w:val="0"/>
      <w:iCs w:val="0"/>
      <w:smallCaps w:val="0"/>
      <w:strike w:val="0"/>
      <w:spacing w:val="0"/>
      <w:sz w:val="11"/>
      <w:szCs w:val="11"/>
      <w:shd w:val="clear" w:color="auto" w:fill="FFFFFF"/>
    </w:rPr>
  </w:style>
  <w:style w:type="paragraph" w:styleId="Tekstkomentarza">
    <w:name w:val="annotation text"/>
    <w:basedOn w:val="Normalny"/>
    <w:link w:val="TekstkomentarzaZnak"/>
    <w:rsid w:val="006962F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6962F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69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962F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6962F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6962F3"/>
    <w:rPr>
      <w:i/>
    </w:rPr>
  </w:style>
  <w:style w:type="paragraph" w:customStyle="1" w:styleId="Technical4">
    <w:name w:val="Technical 4"/>
    <w:rsid w:val="006962F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uiPriority w:val="39"/>
    <w:rsid w:val="006962F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6962F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uiPriority w:val="39"/>
    <w:rsid w:val="006962F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6962F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6962F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6962F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6962F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6962F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6962F3"/>
    <w:pPr>
      <w:spacing w:before="0"/>
      <w:ind w:left="1920"/>
      <w:jc w:val="left"/>
    </w:pPr>
  </w:style>
  <w:style w:type="paragraph" w:styleId="Lista3">
    <w:name w:val="List 3"/>
    <w:basedOn w:val="Normalny"/>
    <w:rsid w:val="006962F3"/>
    <w:pPr>
      <w:ind w:left="849" w:hanging="283"/>
    </w:pPr>
  </w:style>
  <w:style w:type="paragraph" w:styleId="Lista4">
    <w:name w:val="List 4"/>
    <w:basedOn w:val="Normalny"/>
    <w:rsid w:val="006962F3"/>
    <w:pPr>
      <w:ind w:left="1132" w:hanging="283"/>
    </w:pPr>
  </w:style>
  <w:style w:type="paragraph" w:styleId="Lista-kontynuacja">
    <w:name w:val="List Continue"/>
    <w:basedOn w:val="Normalny"/>
    <w:rsid w:val="006962F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6962F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6962F3"/>
    <w:pPr>
      <w:spacing w:before="0"/>
    </w:pPr>
    <w:rPr>
      <w:b/>
      <w:sz w:val="28"/>
    </w:rPr>
  </w:style>
  <w:style w:type="paragraph" w:customStyle="1" w:styleId="a">
    <w:name w:val="Ś"/>
    <w:basedOn w:val="Stopka"/>
    <w:rsid w:val="006962F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6962F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6962F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6962F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6962F3"/>
    <w:pPr>
      <w:numPr>
        <w:numId w:val="0"/>
      </w:numPr>
      <w:tabs>
        <w:tab w:val="num" w:pos="397"/>
      </w:tabs>
      <w:spacing w:before="600"/>
      <w:ind w:left="397" w:hanging="397"/>
    </w:pPr>
    <w:rPr>
      <w:bCs/>
      <w:szCs w:val="24"/>
    </w:rPr>
  </w:style>
  <w:style w:type="character" w:customStyle="1" w:styleId="StylNagwek1Po0ptZnak">
    <w:name w:val="Styl Nagłówek 1 + Po:  0 pt Znak"/>
    <w:link w:val="StylNagwek1Po0pt"/>
    <w:rsid w:val="006962F3"/>
    <w:rPr>
      <w:rFonts w:ascii="Arial" w:hAnsi="Arial" w:cs="Arial"/>
      <w:b/>
      <w:bCs/>
      <w:iCs/>
      <w:caps/>
      <w:kern w:val="24"/>
      <w:sz w:val="18"/>
      <w:szCs w:val="24"/>
    </w:rPr>
  </w:style>
  <w:style w:type="paragraph" w:customStyle="1" w:styleId="Nagwek2Pogrubienie">
    <w:name w:val="Nagłówek 2 + Pogrubienie"/>
    <w:basedOn w:val="Nagwek2"/>
    <w:rsid w:val="006962F3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6962F3"/>
    <w:pPr>
      <w:spacing w:before="0"/>
    </w:pPr>
  </w:style>
  <w:style w:type="paragraph" w:customStyle="1" w:styleId="Mylnik1">
    <w:name w:val="Myślnik 1"/>
    <w:basedOn w:val="Mylnik"/>
    <w:rsid w:val="006962F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6962F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6962F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6962F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6962F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6962F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6962F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6962F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6962F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6962F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6962F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6962F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6962F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6962F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"/>
    <w:link w:val="Nagwek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6962F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6962F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6962F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6962F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semiHidden/>
    <w:locked/>
    <w:rsid w:val="006962F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locked/>
    <w:rsid w:val="006962F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6962F3"/>
    <w:rPr>
      <w:rFonts w:ascii="Arial" w:hAnsi="Arial" w:cs="Arial"/>
      <w:bCs/>
      <w:iCs/>
      <w:sz w:val="16"/>
      <w:szCs w:val="16"/>
    </w:rPr>
  </w:style>
  <w:style w:type="paragraph" w:styleId="Mapadokumentu">
    <w:name w:val="Document Map"/>
    <w:basedOn w:val="Normalny"/>
    <w:link w:val="MapadokumentuZnak"/>
    <w:rsid w:val="006962F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6962F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basedOn w:val="Normalny"/>
    <w:uiPriority w:val="34"/>
    <w:qFormat/>
    <w:rsid w:val="006962F3"/>
    <w:pPr>
      <w:spacing w:before="0" w:after="200" w:line="276" w:lineRule="auto"/>
      <w:ind w:left="720"/>
      <w:jc w:val="left"/>
    </w:pPr>
    <w:rPr>
      <w:rFonts w:ascii="Calibri" w:hAnsi="Calibri" w:cs="Calibri"/>
      <w:bCs w:val="0"/>
      <w:iCs w:val="0"/>
      <w:sz w:val="22"/>
      <w:szCs w:val="22"/>
      <w:lang w:eastAsia="en-US"/>
    </w:rPr>
  </w:style>
  <w:style w:type="character" w:customStyle="1" w:styleId="TekstdymkaZnak">
    <w:name w:val="Tekst dymka Znak"/>
    <w:link w:val="Tekstdymka"/>
    <w:semiHidden/>
    <w:locked/>
    <w:rsid w:val="006962F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6962F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6962F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6962F3"/>
    <w:pPr>
      <w:numPr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6962F3"/>
    <w:pPr>
      <w:numPr>
        <w:ilvl w:val="1"/>
        <w:numId w:val="6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6962F3"/>
    <w:pPr>
      <w:numPr>
        <w:ilvl w:val="2"/>
        <w:numId w:val="6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6962F3"/>
    <w:pPr>
      <w:numPr>
        <w:ilvl w:val="3"/>
        <w:numId w:val="6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6962F3"/>
    <w:pPr>
      <w:numPr>
        <w:ilvl w:val="4"/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6962F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6962F3"/>
    <w:pPr>
      <w:spacing w:after="120"/>
      <w:ind w:left="425"/>
    </w:pPr>
  </w:style>
  <w:style w:type="paragraph" w:customStyle="1" w:styleId="standardowytekst0">
    <w:name w:val="standardowytekst"/>
    <w:basedOn w:val="Normalny"/>
    <w:rsid w:val="006962F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6962F3"/>
    <w:pPr>
      <w:numPr>
        <w:numId w:val="7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6962F3"/>
    <w:pPr>
      <w:ind w:firstLine="210"/>
    </w:pPr>
  </w:style>
  <w:style w:type="character" w:customStyle="1" w:styleId="TekstpodstawowyZnak1">
    <w:name w:val="Tekst podstawowy Znak1"/>
    <w:link w:val="Tekstpodstawowy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treciPogrubienie">
    <w:name w:val="Tekst treści + Pogrubienie"/>
    <w:rsid w:val="006962F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Podpistabeli">
    <w:name w:val="Podpis tabeli_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dpistabeliPogrubienie">
    <w:name w:val="Podpis tabeli + Pogrubienie"/>
    <w:rsid w:val="00687B8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Podpistabeli0">
    <w:name w:val="Podpis tabeli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4">
    <w:name w:val="Tekst treści (4)_"/>
    <w:link w:val="Teksttreci40"/>
    <w:rsid w:val="00687B8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7ptBezkursywyMaelitery">
    <w:name w:val="Tekst treści (4) + 7 pt;Bez kursywy;Małe litery"/>
    <w:rsid w:val="00687B83"/>
    <w:rPr>
      <w:rFonts w:ascii="Arial" w:eastAsia="Arial" w:hAnsi="Arial" w:cs="Arial"/>
      <w:b w:val="0"/>
      <w:bCs w:val="0"/>
      <w:i/>
      <w:iCs/>
      <w:smallCaps/>
      <w:strike w:val="0"/>
      <w:spacing w:val="0"/>
      <w:sz w:val="14"/>
      <w:szCs w:val="14"/>
    </w:rPr>
  </w:style>
  <w:style w:type="character" w:customStyle="1" w:styleId="Teksttreci4Bezkursywy">
    <w:name w:val="Tekst treści (4) + Bez kursywy"/>
    <w:rsid w:val="00687B8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eksttreci5">
    <w:name w:val="Tekst treści (5)_"/>
    <w:link w:val="Teksttreci50"/>
    <w:rsid w:val="00687B8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585ptBezmaychliter">
    <w:name w:val="Tekst treści (5) + 8;5 pt;Bez małych liter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Teksttreci7ptMaelitery">
    <w:name w:val="Tekst treści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  <w:shd w:val="clear" w:color="auto" w:fill="FFFFFF"/>
    </w:rPr>
  </w:style>
  <w:style w:type="character" w:customStyle="1" w:styleId="Teksttreci3">
    <w:name w:val="Tekst treści (3)_"/>
    <w:link w:val="Teksttreci30"/>
    <w:rsid w:val="00687B83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37ptMaelitery">
    <w:name w:val="Tekst treści (3)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687B83"/>
    <w:pPr>
      <w:shd w:val="clear" w:color="auto" w:fill="FFFFFF"/>
      <w:spacing w:before="0" w:line="0" w:lineRule="atLeast"/>
      <w:jc w:val="right"/>
    </w:pPr>
    <w:rPr>
      <w:rFonts w:eastAsia="Arial"/>
      <w:bCs w:val="0"/>
      <w:iCs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1"/>
      <w:szCs w:val="11"/>
    </w:rPr>
  </w:style>
  <w:style w:type="character" w:customStyle="1" w:styleId="TeksttreciOdstpy1pt">
    <w:name w:val="Tekst treści + Odstępy 1 pt"/>
    <w:rsid w:val="00305D47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Teksttreci8ptSkalowanie150">
    <w:name w:val="Tekst treści + 8 pt;Skalowanie 150%"/>
    <w:rsid w:val="006F5E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w w:val="150"/>
      <w:sz w:val="16"/>
      <w:szCs w:val="16"/>
      <w:shd w:val="clear" w:color="auto" w:fill="FFFFFF"/>
    </w:rPr>
  </w:style>
  <w:style w:type="character" w:customStyle="1" w:styleId="Podpistabeli2">
    <w:name w:val="Podpis tabeli (2)_"/>
    <w:basedOn w:val="Domylnaczcionkaakapitu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0">
    <w:name w:val="Podpis tabeli (2)"/>
    <w:basedOn w:val="Podpistabeli2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pt">
    <w:name w:val="Pogrubienie;Tekst treści + 10 pt"/>
    <w:basedOn w:val="Teksttreci"/>
    <w:rsid w:val="001B3B05"/>
    <w:rPr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link w:val="Podpistabeli30"/>
    <w:rsid w:val="0004721A"/>
    <w:rPr>
      <w:shd w:val="clear" w:color="auto" w:fill="FFFFFF"/>
    </w:rPr>
  </w:style>
  <w:style w:type="paragraph" w:customStyle="1" w:styleId="Podpistabeli30">
    <w:name w:val="Podpis tabeli (3)"/>
    <w:basedOn w:val="Normalny"/>
    <w:link w:val="Podpistabeli3"/>
    <w:rsid w:val="0004721A"/>
    <w:pPr>
      <w:shd w:val="clear" w:color="auto" w:fill="FFFFFF"/>
      <w:spacing w:before="0" w:after="60" w:line="0" w:lineRule="atLeast"/>
      <w:jc w:val="left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8C06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C06E4"/>
    <w:pPr>
      <w:shd w:val="clear" w:color="auto" w:fill="FFFFFF"/>
      <w:spacing w:before="0" w:after="180" w:line="0" w:lineRule="atLeast"/>
      <w:outlineLvl w:val="2"/>
    </w:pPr>
    <w:rPr>
      <w:rFonts w:ascii="Times New Roman" w:hAnsi="Times New Roman" w:cs="Times New Roman"/>
      <w:bCs w:val="0"/>
      <w:iCs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8C06E4"/>
    <w:rPr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C06E4"/>
    <w:pPr>
      <w:shd w:val="clear" w:color="auto" w:fill="FFFFFF"/>
      <w:spacing w:before="0" w:line="240" w:lineRule="exact"/>
      <w:jc w:val="left"/>
      <w:outlineLvl w:val="3"/>
    </w:pPr>
    <w:rPr>
      <w:rFonts w:ascii="Times New Roman" w:hAnsi="Times New Roman" w:cs="Times New Roman"/>
      <w:bCs w:val="0"/>
      <w:iCs w:val="0"/>
      <w:sz w:val="19"/>
      <w:szCs w:val="19"/>
    </w:rPr>
  </w:style>
  <w:style w:type="paragraph" w:customStyle="1" w:styleId="AAAAA">
    <w:name w:val="AAAAA"/>
    <w:rsid w:val="00EC69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wypunktowaniekreska">
    <w:name w:val="wypunktowanie kreska"/>
    <w:basedOn w:val="Normalny"/>
    <w:rsid w:val="00D076AD"/>
    <w:pPr>
      <w:numPr>
        <w:numId w:val="8"/>
      </w:numPr>
      <w:spacing w:after="60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Document8">
    <w:name w:val="Document 8"/>
    <w:basedOn w:val="Domylnaczcionkaakapitu"/>
    <w:rsid w:val="005E312E"/>
  </w:style>
  <w:style w:type="character" w:customStyle="1" w:styleId="podpunkt">
    <w:name w:val="podpunkt"/>
    <w:rsid w:val="006C1E10"/>
    <w:rPr>
      <w:rFonts w:ascii="Times New Roman" w:hAnsi="Times New Roman"/>
      <w:b/>
    </w:rPr>
  </w:style>
  <w:style w:type="paragraph" w:customStyle="1" w:styleId="Style6">
    <w:name w:val="Style6"/>
    <w:basedOn w:val="Normalny"/>
    <w:uiPriority w:val="99"/>
    <w:rsid w:val="005960C8"/>
    <w:pPr>
      <w:widowControl w:val="0"/>
      <w:autoSpaceDE w:val="0"/>
      <w:autoSpaceDN w:val="0"/>
      <w:adjustRightInd w:val="0"/>
      <w:spacing w:before="0" w:line="226" w:lineRule="exact"/>
    </w:pPr>
    <w:rPr>
      <w:rFonts w:ascii="Arial Unicode MS" w:eastAsia="Arial Unicode MS" w:hAnsi="Calibri" w:cs="Arial Unicode MS"/>
      <w:bCs w:val="0"/>
      <w:iCs w:val="0"/>
      <w:sz w:val="24"/>
    </w:rPr>
  </w:style>
  <w:style w:type="character" w:customStyle="1" w:styleId="FontStyle56">
    <w:name w:val="Font Style56"/>
    <w:uiPriority w:val="99"/>
    <w:rsid w:val="005960C8"/>
    <w:rPr>
      <w:rFonts w:ascii="Arial Unicode MS" w:eastAsia="Arial Unicode MS" w:cs="Arial Unicode MS"/>
      <w:sz w:val="18"/>
      <w:szCs w:val="18"/>
    </w:rPr>
  </w:style>
  <w:style w:type="paragraph" w:customStyle="1" w:styleId="Style32">
    <w:name w:val="Style32"/>
    <w:basedOn w:val="Normalny"/>
    <w:uiPriority w:val="99"/>
    <w:rsid w:val="005960C8"/>
    <w:pPr>
      <w:widowControl w:val="0"/>
      <w:autoSpaceDE w:val="0"/>
      <w:autoSpaceDN w:val="0"/>
      <w:adjustRightInd w:val="0"/>
      <w:spacing w:before="0" w:line="226" w:lineRule="exact"/>
      <w:ind w:hanging="350"/>
    </w:pPr>
    <w:rPr>
      <w:rFonts w:ascii="Arial Unicode MS" w:eastAsia="Arial Unicode MS" w:hAnsi="Calibri" w:cs="Arial Unicode MS"/>
      <w:bCs w:val="0"/>
      <w:iCs w:val="0"/>
      <w:sz w:val="24"/>
    </w:rPr>
  </w:style>
  <w:style w:type="character" w:customStyle="1" w:styleId="FontStyle53">
    <w:name w:val="Font Style53"/>
    <w:uiPriority w:val="99"/>
    <w:rsid w:val="005960C8"/>
    <w:rPr>
      <w:rFonts w:ascii="Arial Unicode MS" w:eastAsia="Arial Unicode MS" w:cs="Arial Unicode MS"/>
      <w:sz w:val="16"/>
      <w:szCs w:val="16"/>
    </w:rPr>
  </w:style>
  <w:style w:type="paragraph" w:customStyle="1" w:styleId="Style25">
    <w:name w:val="Style25"/>
    <w:basedOn w:val="Normalny"/>
    <w:uiPriority w:val="99"/>
    <w:rsid w:val="00007005"/>
    <w:pPr>
      <w:widowControl w:val="0"/>
      <w:autoSpaceDE w:val="0"/>
      <w:autoSpaceDN w:val="0"/>
      <w:adjustRightInd w:val="0"/>
      <w:spacing w:before="0"/>
    </w:pPr>
    <w:rPr>
      <w:rFonts w:ascii="Calibri" w:hAnsi="Calibri" w:cs="Times New Roman"/>
      <w:bCs w:val="0"/>
      <w:iCs w:val="0"/>
      <w:sz w:val="24"/>
    </w:rPr>
  </w:style>
  <w:style w:type="character" w:customStyle="1" w:styleId="FontStyle218">
    <w:name w:val="Font Style218"/>
    <w:basedOn w:val="Domylnaczcionkaakapitu"/>
    <w:uiPriority w:val="99"/>
    <w:rsid w:val="00007005"/>
    <w:rPr>
      <w:rFonts w:ascii="Arial" w:hAnsi="Arial" w:cs="Arial"/>
      <w:color w:val="000000"/>
      <w:sz w:val="20"/>
      <w:szCs w:val="20"/>
    </w:rPr>
  </w:style>
  <w:style w:type="character" w:customStyle="1" w:styleId="FontStyle222">
    <w:name w:val="Font Style222"/>
    <w:basedOn w:val="Domylnaczcionkaakapitu"/>
    <w:uiPriority w:val="99"/>
    <w:rsid w:val="00007005"/>
    <w:rPr>
      <w:rFonts w:ascii="Verdana" w:hAnsi="Verdana" w:cs="Verdana"/>
      <w:color w:val="000000"/>
      <w:sz w:val="14"/>
      <w:szCs w:val="14"/>
    </w:rPr>
  </w:style>
  <w:style w:type="paragraph" w:customStyle="1" w:styleId="Style38">
    <w:name w:val="Style38"/>
    <w:basedOn w:val="Normalny"/>
    <w:uiPriority w:val="99"/>
    <w:rsid w:val="00007005"/>
    <w:pPr>
      <w:widowControl w:val="0"/>
      <w:autoSpaceDE w:val="0"/>
      <w:autoSpaceDN w:val="0"/>
      <w:adjustRightInd w:val="0"/>
      <w:spacing w:before="0" w:line="194" w:lineRule="exact"/>
      <w:jc w:val="left"/>
    </w:pPr>
    <w:rPr>
      <w:rFonts w:ascii="Calibri" w:hAnsi="Calibri" w:cs="Times New Roman"/>
      <w:bCs w:val="0"/>
      <w:iCs w:val="0"/>
      <w:sz w:val="24"/>
    </w:rPr>
  </w:style>
  <w:style w:type="character" w:customStyle="1" w:styleId="BezodstpwZnak">
    <w:name w:val="Bez odstępów Znak"/>
    <w:basedOn w:val="Domylnaczcionkaakapitu"/>
    <w:link w:val="Bezodstpw"/>
    <w:locked/>
    <w:rsid w:val="007739EE"/>
    <w:rPr>
      <w:rFonts w:ascii="Calibri" w:hAnsi="Calibri"/>
    </w:rPr>
  </w:style>
  <w:style w:type="paragraph" w:styleId="Bezodstpw">
    <w:name w:val="No Spacing"/>
    <w:basedOn w:val="Normalny"/>
    <w:link w:val="BezodstpwZnak"/>
    <w:qFormat/>
    <w:rsid w:val="007739EE"/>
    <w:pPr>
      <w:spacing w:before="0"/>
      <w:ind w:firstLine="697"/>
    </w:pPr>
    <w:rPr>
      <w:rFonts w:ascii="Calibri" w:hAnsi="Calibri" w:cs="Times New Roman"/>
      <w:bCs w:val="0"/>
      <w:iCs w:val="0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204AA2"/>
    <w:rPr>
      <w:color w:val="80808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50616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iCs w:val="0"/>
      <w:caps w:val="0"/>
      <w:color w:val="2E74B5" w:themeColor="accent1" w:themeShade="BF"/>
      <w:kern w:val="0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6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E9A"/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E82E9A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E82E9A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E82E9A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qFormat/>
    <w:rsid w:val="00E82E9A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qFormat/>
    <w:rsid w:val="00E82E9A"/>
    <w:pPr>
      <w:numPr>
        <w:ilvl w:val="4"/>
        <w:numId w:val="2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qFormat/>
    <w:rsid w:val="00E82E9A"/>
    <w:pPr>
      <w:numPr>
        <w:ilvl w:val="5"/>
        <w:numId w:val="2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E82E9A"/>
    <w:pPr>
      <w:numPr>
        <w:ilvl w:val="6"/>
        <w:numId w:val="2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82E9A"/>
    <w:pPr>
      <w:numPr>
        <w:ilvl w:val="7"/>
        <w:numId w:val="2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E82E9A"/>
    <w:pPr>
      <w:numPr>
        <w:ilvl w:val="8"/>
        <w:numId w:val="2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E82E9A"/>
    <w:rPr>
      <w:b w:val="0"/>
    </w:rPr>
  </w:style>
  <w:style w:type="paragraph" w:customStyle="1" w:styleId="StylNormalny">
    <w:name w:val="Styl Normalny"/>
    <w:basedOn w:val="Normalny"/>
    <w:rsid w:val="00E82E9A"/>
    <w:pPr>
      <w:spacing w:before="240"/>
    </w:pPr>
  </w:style>
  <w:style w:type="paragraph" w:styleId="Nagwek">
    <w:name w:val="header"/>
    <w:aliases w:val="Nagłówek strony"/>
    <w:basedOn w:val="Normalny"/>
    <w:link w:val="NagwekZnak"/>
    <w:rsid w:val="00E82E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2E9A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E82E9A"/>
  </w:style>
  <w:style w:type="paragraph" w:customStyle="1" w:styleId="Tabela">
    <w:name w:val="Tabela"/>
    <w:basedOn w:val="Normalny"/>
    <w:link w:val="TabelaZnak"/>
    <w:rsid w:val="00E82E9A"/>
    <w:pPr>
      <w:spacing w:before="0"/>
      <w:jc w:val="center"/>
    </w:pPr>
  </w:style>
  <w:style w:type="paragraph" w:customStyle="1" w:styleId="TytuSST">
    <w:name w:val="Tytuł SST"/>
    <w:basedOn w:val="Normalny"/>
    <w:rsid w:val="00E82E9A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E82E9A"/>
    <w:pPr>
      <w:tabs>
        <w:tab w:val="left" w:pos="397"/>
        <w:tab w:val="left" w:pos="567"/>
        <w:tab w:val="left" w:pos="737"/>
      </w:tabs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E82E9A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E82E9A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E82E9A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E82E9A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E82E9A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E82E9A"/>
    <w:pPr>
      <w:spacing w:before="240"/>
    </w:pPr>
  </w:style>
  <w:style w:type="character" w:customStyle="1" w:styleId="Normal12Znak">
    <w:name w:val="Normal 12 Znak"/>
    <w:link w:val="Normal12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E82E9A"/>
    <w:pPr>
      <w:spacing w:before="240"/>
    </w:pPr>
  </w:style>
  <w:style w:type="character" w:customStyle="1" w:styleId="Normal1Znak">
    <w:name w:val="Normal 1 Znak"/>
    <w:link w:val="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E82E9A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E82E9A"/>
    <w:pPr>
      <w:tabs>
        <w:tab w:val="left" w:pos="340"/>
      </w:tabs>
      <w:spacing w:before="0"/>
    </w:pPr>
  </w:style>
  <w:style w:type="character" w:customStyle="1" w:styleId="ZnakZnak2">
    <w:name w:val="Znak Znak2"/>
    <w:rsid w:val="00E82E9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E82E9A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rsid w:val="00E82E9A"/>
    <w:pPr>
      <w:spacing w:after="120"/>
    </w:pPr>
  </w:style>
  <w:style w:type="character" w:styleId="Hipercze">
    <w:name w:val="Hyperlink"/>
    <w:uiPriority w:val="99"/>
    <w:rsid w:val="00E82E9A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E82E9A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E82E9A"/>
  </w:style>
  <w:style w:type="paragraph" w:customStyle="1" w:styleId="normalny0">
    <w:name w:val="normalny 0"/>
    <w:basedOn w:val="Normalny"/>
    <w:link w:val="normalny0Znak"/>
    <w:rsid w:val="00E82E9A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E82E9A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E82E9A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E82E9A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E82E9A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E82E9A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E82E9A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E82E9A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E82E9A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E82E9A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E82E9A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E82E9A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E82E9A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E82E9A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E82E9A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qFormat/>
    <w:rsid w:val="00E82E9A"/>
  </w:style>
  <w:style w:type="paragraph" w:customStyle="1" w:styleId="Kreska">
    <w:name w:val="Kreska"/>
    <w:basedOn w:val="Normalny"/>
    <w:rsid w:val="00E82E9A"/>
    <w:pPr>
      <w:ind w:left="284" w:hanging="284"/>
    </w:pPr>
  </w:style>
  <w:style w:type="paragraph" w:styleId="Lista">
    <w:name w:val="List"/>
    <w:basedOn w:val="Normalny"/>
    <w:rsid w:val="00E82E9A"/>
    <w:pPr>
      <w:ind w:left="283" w:hanging="283"/>
    </w:pPr>
  </w:style>
  <w:style w:type="paragraph" w:styleId="Lista2">
    <w:name w:val="List 2"/>
    <w:basedOn w:val="Normalny"/>
    <w:rsid w:val="00E82E9A"/>
    <w:pPr>
      <w:ind w:left="566" w:hanging="283"/>
    </w:pPr>
  </w:style>
  <w:style w:type="paragraph" w:customStyle="1" w:styleId="Standardowypodkrelony">
    <w:name w:val="Standardowy_podkreślony"/>
    <w:basedOn w:val="Normalny"/>
    <w:rsid w:val="00E82E9A"/>
    <w:rPr>
      <w:u w:val="single"/>
    </w:rPr>
  </w:style>
  <w:style w:type="paragraph" w:customStyle="1" w:styleId="Wzr">
    <w:name w:val="Wzór"/>
    <w:basedOn w:val="Normalny"/>
    <w:rsid w:val="00E82E9A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E82E9A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E82E9A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E82E9A"/>
    <w:pPr>
      <w:spacing w:before="0"/>
      <w:ind w:left="4252"/>
    </w:pPr>
  </w:style>
  <w:style w:type="paragraph" w:styleId="Adresnakopercie">
    <w:name w:val="envelope address"/>
    <w:basedOn w:val="Normalny"/>
    <w:rsid w:val="00E82E9A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E82E9A"/>
    <w:pPr>
      <w:ind w:firstLine="708"/>
    </w:pPr>
  </w:style>
  <w:style w:type="paragraph" w:styleId="Tekstpodstawowy2">
    <w:name w:val="Body Text 2"/>
    <w:basedOn w:val="Normalny"/>
    <w:link w:val="Tekstpodstawowy2Znak"/>
    <w:rsid w:val="00E82E9A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E82E9A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E82E9A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rsid w:val="00E82E9A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E82E9A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E82E9A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E82E9A"/>
    <w:pPr>
      <w:spacing w:before="100" w:beforeAutospacing="1" w:after="119"/>
    </w:pPr>
  </w:style>
  <w:style w:type="paragraph" w:customStyle="1" w:styleId="Tekstpodstawowy1">
    <w:name w:val="Tekst podstawowy1"/>
    <w:rsid w:val="00E82E9A"/>
    <w:pPr>
      <w:widowControl w:val="0"/>
      <w:suppressLineNumbers/>
      <w:suppressAutoHyphens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E82E9A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NORM0">
    <w:name w:val="NORM 0"/>
    <w:basedOn w:val="Normalny"/>
    <w:link w:val="NORM0Znak"/>
    <w:rsid w:val="00E82E9A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E82E9A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E82E9A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E82E9A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82E9A"/>
    <w:pPr>
      <w:spacing w:before="0"/>
    </w:pPr>
  </w:style>
  <w:style w:type="paragraph" w:styleId="Data">
    <w:name w:val="Date"/>
    <w:basedOn w:val="Normalny"/>
    <w:next w:val="Normalny"/>
    <w:link w:val="DataZnak"/>
    <w:rsid w:val="00E82E9A"/>
    <w:pPr>
      <w:spacing w:before="0"/>
      <w:jc w:val="left"/>
    </w:pPr>
  </w:style>
  <w:style w:type="paragraph" w:customStyle="1" w:styleId="Standardowytekst">
    <w:name w:val="Standardowy.tekst"/>
    <w:rsid w:val="00E82E9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7">
    <w:name w:val="7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ny1">
    <w:name w:val="Normalny1"/>
    <w:basedOn w:val="Normalny"/>
    <w:link w:val="normalZnak"/>
    <w:rsid w:val="00E82E9A"/>
    <w:pPr>
      <w:spacing w:before="240"/>
    </w:pPr>
  </w:style>
  <w:style w:type="character" w:customStyle="1" w:styleId="normalZnak">
    <w:name w:val="normal Znak"/>
    <w:link w:val="Normalny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E82E9A"/>
    <w:pPr>
      <w:spacing w:before="0"/>
    </w:pPr>
  </w:style>
  <w:style w:type="character" w:customStyle="1" w:styleId="Nagwek1Znak">
    <w:name w:val="Nagłówek 1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E82E9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E82E9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E82E9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E82E9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E82E9A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E82E9A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E82E9A"/>
    <w:pPr>
      <w:numPr>
        <w:numId w:val="4"/>
      </w:numPr>
    </w:pPr>
  </w:style>
  <w:style w:type="numbering" w:customStyle="1" w:styleId="Punktowane2">
    <w:name w:val="Punktowane2"/>
    <w:basedOn w:val="Bezlisty"/>
    <w:rsid w:val="00E82E9A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E82E9A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E82E9A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E82E9A"/>
    <w:rPr>
      <w:b w:val="0"/>
      <w:iCs w:val="0"/>
    </w:rPr>
  </w:style>
  <w:style w:type="paragraph" w:customStyle="1" w:styleId="Default">
    <w:name w:val="Default"/>
    <w:rsid w:val="00E82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E82E9A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E82E9A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E82E9A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E82E9A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E82E9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2E9A"/>
    <w:rPr>
      <w:szCs w:val="20"/>
    </w:rPr>
  </w:style>
  <w:style w:type="character" w:styleId="Odwoanieprzypisukocowego">
    <w:name w:val="endnote reference"/>
    <w:semiHidden/>
    <w:rsid w:val="00E82E9A"/>
    <w:rPr>
      <w:vertAlign w:val="superscript"/>
    </w:rPr>
  </w:style>
  <w:style w:type="character" w:styleId="Odwoanieprzypisudolnego">
    <w:name w:val="footnote reference"/>
    <w:aliases w:val="Footnote Reference/"/>
    <w:semiHidden/>
    <w:rsid w:val="00E8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2E9A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E82E9A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E82E9A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E82E9A"/>
    <w:rPr>
      <w:color w:val="800080"/>
      <w:u w:val="single"/>
    </w:rPr>
  </w:style>
  <w:style w:type="paragraph" w:customStyle="1" w:styleId="nagwek0">
    <w:name w:val="nagłówek"/>
    <w:basedOn w:val="Normalny"/>
    <w:link w:val="nagwekZnak0"/>
    <w:qFormat/>
    <w:rsid w:val="00631EE1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bCs w:val="0"/>
      <w:iCs w:val="0"/>
      <w:szCs w:val="18"/>
    </w:rPr>
  </w:style>
  <w:style w:type="character" w:customStyle="1" w:styleId="nagwekZnak0">
    <w:name w:val="nagłówek Znak"/>
    <w:link w:val="nagwek0"/>
    <w:rsid w:val="00631EE1"/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0"/>
    <w:rsid w:val="0059726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7265"/>
    <w:pPr>
      <w:shd w:val="clear" w:color="auto" w:fill="FFFFFF"/>
      <w:spacing w:before="120" w:after="120" w:line="206" w:lineRule="exact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2">
    <w:name w:val="Tekst treści (2)_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20">
    <w:name w:val="Nagłówek #2_"/>
    <w:link w:val="Nagwek21"/>
    <w:rsid w:val="00F95554"/>
    <w:rPr>
      <w:sz w:val="17"/>
      <w:szCs w:val="17"/>
      <w:shd w:val="clear" w:color="auto" w:fill="FFFFFF"/>
    </w:rPr>
  </w:style>
  <w:style w:type="character" w:customStyle="1" w:styleId="Teksttreci20">
    <w:name w:val="Tekst treści (2)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PogrubienieTeksttreci85pt">
    <w:name w:val="Pogrubienie;Tekst treści + 8;5 pt"/>
    <w:rsid w:val="00F95554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95554"/>
    <w:pPr>
      <w:shd w:val="clear" w:color="auto" w:fill="FFFFFF"/>
      <w:spacing w:before="0" w:after="240" w:line="0" w:lineRule="atLeast"/>
      <w:outlineLvl w:val="1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Kursywa">
    <w:name w:val="Tekst treści + Kursywa"/>
    <w:rsid w:val="00C929ED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Teksttreci55pt">
    <w:name w:val="Tekst treści + 5;5 pt"/>
    <w:rsid w:val="00664BC0"/>
    <w:rPr>
      <w:b w:val="0"/>
      <w:bCs w:val="0"/>
      <w:i w:val="0"/>
      <w:iCs w:val="0"/>
      <w:smallCaps w:val="0"/>
      <w:strike w:val="0"/>
      <w:spacing w:val="0"/>
      <w:sz w:val="11"/>
      <w:szCs w:val="11"/>
      <w:shd w:val="clear" w:color="auto" w:fill="FFFFFF"/>
    </w:rPr>
  </w:style>
  <w:style w:type="paragraph" w:styleId="Tekstkomentarza">
    <w:name w:val="annotation text"/>
    <w:basedOn w:val="Normalny"/>
    <w:link w:val="TekstkomentarzaZnak"/>
    <w:rsid w:val="006962F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6962F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69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962F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6962F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6962F3"/>
    <w:rPr>
      <w:i/>
    </w:rPr>
  </w:style>
  <w:style w:type="paragraph" w:customStyle="1" w:styleId="Technical4">
    <w:name w:val="Technical 4"/>
    <w:rsid w:val="006962F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uiPriority w:val="39"/>
    <w:rsid w:val="006962F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39"/>
    <w:rsid w:val="006962F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uiPriority w:val="39"/>
    <w:rsid w:val="006962F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6962F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6962F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6962F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6962F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6962F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6962F3"/>
    <w:pPr>
      <w:spacing w:before="0"/>
      <w:ind w:left="1920"/>
      <w:jc w:val="left"/>
    </w:pPr>
  </w:style>
  <w:style w:type="paragraph" w:styleId="Lista3">
    <w:name w:val="List 3"/>
    <w:basedOn w:val="Normalny"/>
    <w:rsid w:val="006962F3"/>
    <w:pPr>
      <w:ind w:left="849" w:hanging="283"/>
    </w:pPr>
  </w:style>
  <w:style w:type="paragraph" w:styleId="Lista4">
    <w:name w:val="List 4"/>
    <w:basedOn w:val="Normalny"/>
    <w:rsid w:val="006962F3"/>
    <w:pPr>
      <w:ind w:left="1132" w:hanging="283"/>
    </w:pPr>
  </w:style>
  <w:style w:type="paragraph" w:styleId="Lista-kontynuacja">
    <w:name w:val="List Continue"/>
    <w:basedOn w:val="Normalny"/>
    <w:rsid w:val="006962F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6962F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6962F3"/>
    <w:pPr>
      <w:spacing w:before="0"/>
    </w:pPr>
    <w:rPr>
      <w:b/>
      <w:sz w:val="28"/>
    </w:rPr>
  </w:style>
  <w:style w:type="paragraph" w:customStyle="1" w:styleId="a">
    <w:name w:val="Ś"/>
    <w:basedOn w:val="Stopka"/>
    <w:rsid w:val="006962F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6962F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6962F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6962F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6962F3"/>
    <w:pPr>
      <w:numPr>
        <w:numId w:val="0"/>
      </w:numPr>
      <w:tabs>
        <w:tab w:val="num" w:pos="397"/>
      </w:tabs>
      <w:spacing w:before="600"/>
      <w:ind w:left="397" w:hanging="397"/>
    </w:pPr>
    <w:rPr>
      <w:bCs/>
      <w:szCs w:val="24"/>
    </w:rPr>
  </w:style>
  <w:style w:type="character" w:customStyle="1" w:styleId="StylNagwek1Po0ptZnak">
    <w:name w:val="Styl Nagłówek 1 + Po:  0 pt Znak"/>
    <w:link w:val="StylNagwek1Po0pt"/>
    <w:rsid w:val="006962F3"/>
    <w:rPr>
      <w:rFonts w:ascii="Arial" w:hAnsi="Arial" w:cs="Arial"/>
      <w:b/>
      <w:bCs/>
      <w:iCs/>
      <w:caps/>
      <w:kern w:val="24"/>
      <w:sz w:val="18"/>
      <w:szCs w:val="24"/>
    </w:rPr>
  </w:style>
  <w:style w:type="paragraph" w:customStyle="1" w:styleId="Nagwek2Pogrubienie">
    <w:name w:val="Nagłówek 2 + Pogrubienie"/>
    <w:basedOn w:val="Nagwek2"/>
    <w:rsid w:val="006962F3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6962F3"/>
    <w:pPr>
      <w:spacing w:before="0"/>
    </w:pPr>
  </w:style>
  <w:style w:type="paragraph" w:customStyle="1" w:styleId="Mylnik1">
    <w:name w:val="Myślnik 1"/>
    <w:basedOn w:val="Mylnik"/>
    <w:rsid w:val="006962F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6962F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6962F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6962F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6962F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6962F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6962F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6962F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6962F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6962F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6962F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6962F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6962F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6962F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"/>
    <w:link w:val="Nagwek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6962F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6962F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6962F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6962F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semiHidden/>
    <w:locked/>
    <w:rsid w:val="006962F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locked/>
    <w:rsid w:val="006962F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6962F3"/>
    <w:rPr>
      <w:rFonts w:ascii="Arial" w:hAnsi="Arial" w:cs="Arial"/>
      <w:bCs/>
      <w:iCs/>
      <w:sz w:val="16"/>
      <w:szCs w:val="16"/>
    </w:rPr>
  </w:style>
  <w:style w:type="paragraph" w:styleId="Mapadokumentu">
    <w:name w:val="Document Map"/>
    <w:basedOn w:val="Normalny"/>
    <w:link w:val="MapadokumentuZnak"/>
    <w:rsid w:val="006962F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6962F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basedOn w:val="Normalny"/>
    <w:uiPriority w:val="34"/>
    <w:qFormat/>
    <w:rsid w:val="006962F3"/>
    <w:pPr>
      <w:spacing w:before="0" w:after="200" w:line="276" w:lineRule="auto"/>
      <w:ind w:left="720"/>
      <w:jc w:val="left"/>
    </w:pPr>
    <w:rPr>
      <w:rFonts w:ascii="Calibri" w:hAnsi="Calibri" w:cs="Calibri"/>
      <w:bCs w:val="0"/>
      <w:iCs w:val="0"/>
      <w:sz w:val="22"/>
      <w:szCs w:val="22"/>
      <w:lang w:eastAsia="en-US"/>
    </w:rPr>
  </w:style>
  <w:style w:type="character" w:customStyle="1" w:styleId="TekstdymkaZnak">
    <w:name w:val="Tekst dymka Znak"/>
    <w:link w:val="Tekstdymka"/>
    <w:semiHidden/>
    <w:locked/>
    <w:rsid w:val="006962F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6962F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6962F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6962F3"/>
    <w:pPr>
      <w:numPr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6962F3"/>
    <w:pPr>
      <w:numPr>
        <w:ilvl w:val="1"/>
        <w:numId w:val="6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6962F3"/>
    <w:pPr>
      <w:numPr>
        <w:ilvl w:val="2"/>
        <w:numId w:val="6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6962F3"/>
    <w:pPr>
      <w:numPr>
        <w:ilvl w:val="3"/>
        <w:numId w:val="6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6962F3"/>
    <w:pPr>
      <w:numPr>
        <w:ilvl w:val="4"/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6962F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6962F3"/>
    <w:pPr>
      <w:spacing w:after="120"/>
      <w:ind w:left="425"/>
    </w:pPr>
  </w:style>
  <w:style w:type="paragraph" w:customStyle="1" w:styleId="standardowytekst0">
    <w:name w:val="standardowytekst"/>
    <w:basedOn w:val="Normalny"/>
    <w:rsid w:val="006962F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6962F3"/>
    <w:pPr>
      <w:numPr>
        <w:numId w:val="7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6962F3"/>
    <w:pPr>
      <w:ind w:firstLine="210"/>
    </w:pPr>
  </w:style>
  <w:style w:type="character" w:customStyle="1" w:styleId="TekstpodstawowyZnak1">
    <w:name w:val="Tekst podstawowy Znak1"/>
    <w:link w:val="Tekstpodstawowy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treciPogrubienie">
    <w:name w:val="Tekst treści + Pogrubienie"/>
    <w:rsid w:val="006962F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Podpistabeli">
    <w:name w:val="Podpis tabeli_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dpistabeliPogrubienie">
    <w:name w:val="Podpis tabeli + Pogrubienie"/>
    <w:rsid w:val="00687B8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Podpistabeli0">
    <w:name w:val="Podpis tabeli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4">
    <w:name w:val="Tekst treści (4)_"/>
    <w:link w:val="Teksttreci40"/>
    <w:rsid w:val="00687B8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7ptBezkursywyMaelitery">
    <w:name w:val="Tekst treści (4) + 7 pt;Bez kursywy;Małe litery"/>
    <w:rsid w:val="00687B83"/>
    <w:rPr>
      <w:rFonts w:ascii="Arial" w:eastAsia="Arial" w:hAnsi="Arial" w:cs="Arial"/>
      <w:b w:val="0"/>
      <w:bCs w:val="0"/>
      <w:i/>
      <w:iCs/>
      <w:smallCaps/>
      <w:strike w:val="0"/>
      <w:spacing w:val="0"/>
      <w:sz w:val="14"/>
      <w:szCs w:val="14"/>
    </w:rPr>
  </w:style>
  <w:style w:type="character" w:customStyle="1" w:styleId="Teksttreci4Bezkursywy">
    <w:name w:val="Tekst treści (4) + Bez kursywy"/>
    <w:rsid w:val="00687B8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eksttreci5">
    <w:name w:val="Tekst treści (5)_"/>
    <w:link w:val="Teksttreci50"/>
    <w:rsid w:val="00687B8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585ptBezmaychliter">
    <w:name w:val="Tekst treści (5) + 8;5 pt;Bez małych liter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Teksttreci7ptMaelitery">
    <w:name w:val="Tekst treści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  <w:shd w:val="clear" w:color="auto" w:fill="FFFFFF"/>
    </w:rPr>
  </w:style>
  <w:style w:type="character" w:customStyle="1" w:styleId="Teksttreci3">
    <w:name w:val="Tekst treści (3)_"/>
    <w:link w:val="Teksttreci30"/>
    <w:rsid w:val="00687B83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37ptMaelitery">
    <w:name w:val="Tekst treści (3)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687B83"/>
    <w:pPr>
      <w:shd w:val="clear" w:color="auto" w:fill="FFFFFF"/>
      <w:spacing w:before="0" w:line="0" w:lineRule="atLeast"/>
      <w:jc w:val="right"/>
    </w:pPr>
    <w:rPr>
      <w:rFonts w:eastAsia="Arial"/>
      <w:bCs w:val="0"/>
      <w:iCs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1"/>
      <w:szCs w:val="11"/>
    </w:rPr>
  </w:style>
  <w:style w:type="character" w:customStyle="1" w:styleId="TeksttreciOdstpy1pt">
    <w:name w:val="Tekst treści + Odstępy 1 pt"/>
    <w:rsid w:val="00305D47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Teksttreci8ptSkalowanie150">
    <w:name w:val="Tekst treści + 8 pt;Skalowanie 150%"/>
    <w:rsid w:val="006F5E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w w:val="150"/>
      <w:sz w:val="16"/>
      <w:szCs w:val="16"/>
      <w:shd w:val="clear" w:color="auto" w:fill="FFFFFF"/>
    </w:rPr>
  </w:style>
  <w:style w:type="character" w:customStyle="1" w:styleId="Podpistabeli2">
    <w:name w:val="Podpis tabeli (2)_"/>
    <w:basedOn w:val="Domylnaczcionkaakapitu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0">
    <w:name w:val="Podpis tabeli (2)"/>
    <w:basedOn w:val="Podpistabeli2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pt">
    <w:name w:val="Pogrubienie;Tekst treści + 10 pt"/>
    <w:basedOn w:val="Teksttreci"/>
    <w:rsid w:val="001B3B05"/>
    <w:rPr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link w:val="Podpistabeli30"/>
    <w:rsid w:val="0004721A"/>
    <w:rPr>
      <w:shd w:val="clear" w:color="auto" w:fill="FFFFFF"/>
    </w:rPr>
  </w:style>
  <w:style w:type="paragraph" w:customStyle="1" w:styleId="Podpistabeli30">
    <w:name w:val="Podpis tabeli (3)"/>
    <w:basedOn w:val="Normalny"/>
    <w:link w:val="Podpistabeli3"/>
    <w:rsid w:val="0004721A"/>
    <w:pPr>
      <w:shd w:val="clear" w:color="auto" w:fill="FFFFFF"/>
      <w:spacing w:before="0" w:after="60" w:line="0" w:lineRule="atLeast"/>
      <w:jc w:val="left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8C06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C06E4"/>
    <w:pPr>
      <w:shd w:val="clear" w:color="auto" w:fill="FFFFFF"/>
      <w:spacing w:before="0" w:after="180" w:line="0" w:lineRule="atLeast"/>
      <w:outlineLvl w:val="2"/>
    </w:pPr>
    <w:rPr>
      <w:rFonts w:ascii="Times New Roman" w:hAnsi="Times New Roman" w:cs="Times New Roman"/>
      <w:bCs w:val="0"/>
      <w:iCs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8C06E4"/>
    <w:rPr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C06E4"/>
    <w:pPr>
      <w:shd w:val="clear" w:color="auto" w:fill="FFFFFF"/>
      <w:spacing w:before="0" w:line="240" w:lineRule="exact"/>
      <w:jc w:val="left"/>
      <w:outlineLvl w:val="3"/>
    </w:pPr>
    <w:rPr>
      <w:rFonts w:ascii="Times New Roman" w:hAnsi="Times New Roman" w:cs="Times New Roman"/>
      <w:bCs w:val="0"/>
      <w:iCs w:val="0"/>
      <w:sz w:val="19"/>
      <w:szCs w:val="19"/>
    </w:rPr>
  </w:style>
  <w:style w:type="paragraph" w:customStyle="1" w:styleId="AAAAA">
    <w:name w:val="AAAAA"/>
    <w:rsid w:val="00EC69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wypunktowaniekreska">
    <w:name w:val="wypunktowanie kreska"/>
    <w:basedOn w:val="Normalny"/>
    <w:rsid w:val="00D076AD"/>
    <w:pPr>
      <w:numPr>
        <w:numId w:val="8"/>
      </w:numPr>
      <w:spacing w:after="60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Document8">
    <w:name w:val="Document 8"/>
    <w:basedOn w:val="Domylnaczcionkaakapitu"/>
    <w:rsid w:val="005E312E"/>
  </w:style>
  <w:style w:type="character" w:customStyle="1" w:styleId="podpunkt">
    <w:name w:val="podpunkt"/>
    <w:rsid w:val="006C1E10"/>
    <w:rPr>
      <w:rFonts w:ascii="Times New Roman" w:hAnsi="Times New Roman"/>
      <w:b/>
    </w:rPr>
  </w:style>
  <w:style w:type="paragraph" w:customStyle="1" w:styleId="Style6">
    <w:name w:val="Style6"/>
    <w:basedOn w:val="Normalny"/>
    <w:uiPriority w:val="99"/>
    <w:rsid w:val="005960C8"/>
    <w:pPr>
      <w:widowControl w:val="0"/>
      <w:autoSpaceDE w:val="0"/>
      <w:autoSpaceDN w:val="0"/>
      <w:adjustRightInd w:val="0"/>
      <w:spacing w:before="0" w:line="226" w:lineRule="exact"/>
    </w:pPr>
    <w:rPr>
      <w:rFonts w:ascii="Arial Unicode MS" w:eastAsia="Arial Unicode MS" w:hAnsi="Calibri" w:cs="Arial Unicode MS"/>
      <w:bCs w:val="0"/>
      <w:iCs w:val="0"/>
      <w:sz w:val="24"/>
    </w:rPr>
  </w:style>
  <w:style w:type="character" w:customStyle="1" w:styleId="FontStyle56">
    <w:name w:val="Font Style56"/>
    <w:uiPriority w:val="99"/>
    <w:rsid w:val="005960C8"/>
    <w:rPr>
      <w:rFonts w:ascii="Arial Unicode MS" w:eastAsia="Arial Unicode MS" w:cs="Arial Unicode MS"/>
      <w:sz w:val="18"/>
      <w:szCs w:val="18"/>
    </w:rPr>
  </w:style>
  <w:style w:type="paragraph" w:customStyle="1" w:styleId="Style32">
    <w:name w:val="Style32"/>
    <w:basedOn w:val="Normalny"/>
    <w:uiPriority w:val="99"/>
    <w:rsid w:val="005960C8"/>
    <w:pPr>
      <w:widowControl w:val="0"/>
      <w:autoSpaceDE w:val="0"/>
      <w:autoSpaceDN w:val="0"/>
      <w:adjustRightInd w:val="0"/>
      <w:spacing w:before="0" w:line="226" w:lineRule="exact"/>
      <w:ind w:hanging="350"/>
    </w:pPr>
    <w:rPr>
      <w:rFonts w:ascii="Arial Unicode MS" w:eastAsia="Arial Unicode MS" w:hAnsi="Calibri" w:cs="Arial Unicode MS"/>
      <w:bCs w:val="0"/>
      <w:iCs w:val="0"/>
      <w:sz w:val="24"/>
    </w:rPr>
  </w:style>
  <w:style w:type="character" w:customStyle="1" w:styleId="FontStyle53">
    <w:name w:val="Font Style53"/>
    <w:uiPriority w:val="99"/>
    <w:rsid w:val="005960C8"/>
    <w:rPr>
      <w:rFonts w:ascii="Arial Unicode MS" w:eastAsia="Arial Unicode MS" w:cs="Arial Unicode MS"/>
      <w:sz w:val="16"/>
      <w:szCs w:val="16"/>
    </w:rPr>
  </w:style>
  <w:style w:type="paragraph" w:customStyle="1" w:styleId="Style25">
    <w:name w:val="Style25"/>
    <w:basedOn w:val="Normalny"/>
    <w:uiPriority w:val="99"/>
    <w:rsid w:val="00007005"/>
    <w:pPr>
      <w:widowControl w:val="0"/>
      <w:autoSpaceDE w:val="0"/>
      <w:autoSpaceDN w:val="0"/>
      <w:adjustRightInd w:val="0"/>
      <w:spacing w:before="0"/>
    </w:pPr>
    <w:rPr>
      <w:rFonts w:ascii="Calibri" w:hAnsi="Calibri" w:cs="Times New Roman"/>
      <w:bCs w:val="0"/>
      <w:iCs w:val="0"/>
      <w:sz w:val="24"/>
    </w:rPr>
  </w:style>
  <w:style w:type="character" w:customStyle="1" w:styleId="FontStyle218">
    <w:name w:val="Font Style218"/>
    <w:basedOn w:val="Domylnaczcionkaakapitu"/>
    <w:uiPriority w:val="99"/>
    <w:rsid w:val="00007005"/>
    <w:rPr>
      <w:rFonts w:ascii="Arial" w:hAnsi="Arial" w:cs="Arial"/>
      <w:color w:val="000000"/>
      <w:sz w:val="20"/>
      <w:szCs w:val="20"/>
    </w:rPr>
  </w:style>
  <w:style w:type="character" w:customStyle="1" w:styleId="FontStyle222">
    <w:name w:val="Font Style222"/>
    <w:basedOn w:val="Domylnaczcionkaakapitu"/>
    <w:uiPriority w:val="99"/>
    <w:rsid w:val="00007005"/>
    <w:rPr>
      <w:rFonts w:ascii="Verdana" w:hAnsi="Verdana" w:cs="Verdana"/>
      <w:color w:val="000000"/>
      <w:sz w:val="14"/>
      <w:szCs w:val="14"/>
    </w:rPr>
  </w:style>
  <w:style w:type="paragraph" w:customStyle="1" w:styleId="Style38">
    <w:name w:val="Style38"/>
    <w:basedOn w:val="Normalny"/>
    <w:uiPriority w:val="99"/>
    <w:rsid w:val="00007005"/>
    <w:pPr>
      <w:widowControl w:val="0"/>
      <w:autoSpaceDE w:val="0"/>
      <w:autoSpaceDN w:val="0"/>
      <w:adjustRightInd w:val="0"/>
      <w:spacing w:before="0" w:line="194" w:lineRule="exact"/>
      <w:jc w:val="left"/>
    </w:pPr>
    <w:rPr>
      <w:rFonts w:ascii="Calibri" w:hAnsi="Calibri" w:cs="Times New Roman"/>
      <w:bCs w:val="0"/>
      <w:iCs w:val="0"/>
      <w:sz w:val="24"/>
    </w:rPr>
  </w:style>
  <w:style w:type="character" w:customStyle="1" w:styleId="BezodstpwZnak">
    <w:name w:val="Bez odstępów Znak"/>
    <w:basedOn w:val="Domylnaczcionkaakapitu"/>
    <w:link w:val="Bezodstpw"/>
    <w:locked/>
    <w:rsid w:val="007739EE"/>
    <w:rPr>
      <w:rFonts w:ascii="Calibri" w:hAnsi="Calibri"/>
    </w:rPr>
  </w:style>
  <w:style w:type="paragraph" w:styleId="Bezodstpw">
    <w:name w:val="No Spacing"/>
    <w:basedOn w:val="Normalny"/>
    <w:link w:val="BezodstpwZnak"/>
    <w:qFormat/>
    <w:rsid w:val="007739EE"/>
    <w:pPr>
      <w:spacing w:before="0"/>
      <w:ind w:firstLine="697"/>
    </w:pPr>
    <w:rPr>
      <w:rFonts w:ascii="Calibri" w:hAnsi="Calibri" w:cs="Times New Roman"/>
      <w:bCs w:val="0"/>
      <w:iCs w:val="0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204AA2"/>
    <w:rPr>
      <w:color w:val="80808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50616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iCs w:val="0"/>
      <w:caps w:val="0"/>
      <w:color w:val="2E74B5" w:themeColor="accent1" w:themeShade="BF"/>
      <w:kern w:val="0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ek\Dane%20aplikacji\Microsoft\Szablony\Arial%20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58-C19D-4D57-986F-F4B5FAB1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Arial 3.dot</Template>
  <TotalTime>17</TotalTime>
  <Pages>4</Pages>
  <Words>1955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MZUiM Tychy</Company>
  <LinksUpToDate>false</LinksUpToDate>
  <CharactersWithSpaces>13661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D.04.03.01</dc:title>
  <dc:subject>Ważenie Pojazdów</dc:subject>
  <dc:creator>Brak</dc:creator>
  <cp:keywords>Brak</cp:keywords>
  <cp:lastModifiedBy>t.krecichwost</cp:lastModifiedBy>
  <cp:revision>8</cp:revision>
  <cp:lastPrinted>2018-02-06T04:42:00Z</cp:lastPrinted>
  <dcterms:created xsi:type="dcterms:W3CDTF">2021-12-20T08:20:00Z</dcterms:created>
  <dcterms:modified xsi:type="dcterms:W3CDTF">2022-01-14T06:42:00Z</dcterms:modified>
</cp:coreProperties>
</file>