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CC6" w:rsidRPr="00C11DD7" w:rsidRDefault="00277913" w:rsidP="00C11DD7">
      <w:pPr>
        <w:rPr>
          <w:b/>
          <w:sz w:val="20"/>
          <w:szCs w:val="20"/>
        </w:rPr>
      </w:pPr>
      <w:r w:rsidRPr="00C11DD7">
        <w:rPr>
          <w:b/>
          <w:w w:val="105"/>
          <w:sz w:val="20"/>
          <w:szCs w:val="20"/>
        </w:rPr>
        <w:t>D.07.01.01</w:t>
      </w:r>
      <w:r w:rsidRPr="00C11DD7">
        <w:rPr>
          <w:b/>
          <w:w w:val="105"/>
          <w:sz w:val="20"/>
          <w:szCs w:val="20"/>
        </w:rPr>
        <w:tab/>
        <w:t>OZNAKOWANIE</w:t>
      </w:r>
      <w:r w:rsidRPr="00C11DD7">
        <w:rPr>
          <w:b/>
          <w:spacing w:val="-6"/>
          <w:w w:val="105"/>
          <w:sz w:val="20"/>
          <w:szCs w:val="20"/>
        </w:rPr>
        <w:t xml:space="preserve"> </w:t>
      </w:r>
      <w:r w:rsidRPr="00C11DD7">
        <w:rPr>
          <w:b/>
          <w:w w:val="105"/>
          <w:sz w:val="20"/>
          <w:szCs w:val="20"/>
        </w:rPr>
        <w:t>POZIOME</w:t>
      </w:r>
    </w:p>
    <w:p w:rsidR="00A52CC6" w:rsidRPr="00B20401" w:rsidRDefault="00277913" w:rsidP="00EA0247">
      <w:pPr>
        <w:pStyle w:val="Nagwek1"/>
        <w:numPr>
          <w:ilvl w:val="0"/>
          <w:numId w:val="24"/>
        </w:numPr>
        <w:spacing w:before="120" w:after="120"/>
        <w:ind w:left="0" w:firstLine="0"/>
        <w:rPr>
          <w:sz w:val="20"/>
        </w:rPr>
      </w:pPr>
      <w:r w:rsidRPr="00B20401">
        <w:rPr>
          <w:sz w:val="20"/>
        </w:rPr>
        <w:t>WSTĘP</w:t>
      </w:r>
    </w:p>
    <w:p w:rsidR="00A52CC6" w:rsidRPr="00B20401" w:rsidRDefault="00277913" w:rsidP="00EA0247">
      <w:pPr>
        <w:pStyle w:val="Nagwek1"/>
        <w:numPr>
          <w:ilvl w:val="1"/>
          <w:numId w:val="24"/>
        </w:numPr>
        <w:spacing w:before="120" w:after="120"/>
        <w:ind w:left="0" w:firstLine="0"/>
        <w:rPr>
          <w:sz w:val="20"/>
        </w:rPr>
      </w:pPr>
      <w:r w:rsidRPr="00B20401">
        <w:rPr>
          <w:sz w:val="20"/>
        </w:rPr>
        <w:t>Przedmiot STWiORB</w:t>
      </w:r>
    </w:p>
    <w:p w:rsidR="00A52CC6" w:rsidRDefault="00277913" w:rsidP="001955B5">
      <w:pPr>
        <w:pStyle w:val="Tekstpodstawowy"/>
      </w:pPr>
      <w:r>
        <w:t xml:space="preserve">Przedmiotem niniejszej STWiORB są wymagania dotyczące wykonania i odbioru Robót związanych z wykonaniem oznakowania poziomego, </w:t>
      </w:r>
      <w:r w:rsidR="00E55D52">
        <w:t>które zostaną wykonane w ramach zadania: adaptacji i dostosowania miejsc pasa drogowego DK44 w Tychach jako stanowiska Kontroli Ruchu Drogowego wraz z miejscem do ważenia pojazdów ciężarowych.</w:t>
      </w:r>
      <w:r>
        <w:t>.</w:t>
      </w:r>
    </w:p>
    <w:p w:rsidR="00A52CC6" w:rsidRPr="00B20401" w:rsidRDefault="00277913" w:rsidP="00EA0247">
      <w:pPr>
        <w:pStyle w:val="Nagwek1"/>
        <w:numPr>
          <w:ilvl w:val="1"/>
          <w:numId w:val="24"/>
        </w:numPr>
        <w:spacing w:before="120" w:after="120"/>
        <w:ind w:left="0" w:firstLine="0"/>
        <w:rPr>
          <w:sz w:val="20"/>
        </w:rPr>
      </w:pPr>
      <w:r w:rsidRPr="00B20401">
        <w:rPr>
          <w:sz w:val="20"/>
        </w:rPr>
        <w:t>Zakres stosowania STWiORB</w:t>
      </w:r>
    </w:p>
    <w:p w:rsidR="00A52CC6" w:rsidRDefault="00277913" w:rsidP="001955B5">
      <w:pPr>
        <w:pStyle w:val="Tekstpodstawowy"/>
      </w:pPr>
      <w:r>
        <w:t>STWIORB jest stosowana, jako Dokument Kontraktowy przy realizacji Robót wymienionych w p. 1.1.</w:t>
      </w:r>
    </w:p>
    <w:p w:rsidR="00A52CC6" w:rsidRPr="00B20401" w:rsidRDefault="00277913" w:rsidP="00EA0247">
      <w:pPr>
        <w:pStyle w:val="Nagwek1"/>
        <w:numPr>
          <w:ilvl w:val="1"/>
          <w:numId w:val="24"/>
        </w:numPr>
        <w:spacing w:before="120" w:after="120"/>
        <w:ind w:left="0" w:firstLine="0"/>
        <w:rPr>
          <w:sz w:val="20"/>
        </w:rPr>
      </w:pPr>
      <w:r w:rsidRPr="00B20401">
        <w:rPr>
          <w:sz w:val="20"/>
        </w:rPr>
        <w:t>Zakres Robót objętych STWiORB</w:t>
      </w:r>
    </w:p>
    <w:p w:rsidR="00A52CC6" w:rsidRDefault="00277913" w:rsidP="001955B5">
      <w:pPr>
        <w:pStyle w:val="Tekstpodstawowy"/>
      </w:pPr>
      <w:r>
        <w:t>Ustalenia zawarte w niniejszej STWiORB dotyczą wykonania Robót wymienionych w p. 1.1. i obejmują:</w:t>
      </w:r>
    </w:p>
    <w:p w:rsidR="00A52CC6" w:rsidRDefault="00277913" w:rsidP="001955B5">
      <w:pPr>
        <w:pStyle w:val="Tekstpodstawowy"/>
      </w:pPr>
      <w:r>
        <w:t>oznakowanie poziome jezdni materiałami cienkowarstwowymi i grubowarstwowymi zgodnie z dokumentacją techniczną</w:t>
      </w:r>
    </w:p>
    <w:p w:rsidR="00A52CC6" w:rsidRDefault="00277913" w:rsidP="001955B5">
      <w:pPr>
        <w:pStyle w:val="Tekstpodstawowy"/>
      </w:pPr>
      <w:r>
        <w:t>Roboty wykonuje się dla całego przedmiotowego zadania, w lokalizacjach zgodnych z PFU i Dokumentami Wykonawcy oraz poleceniami Inwestora.</w:t>
      </w:r>
    </w:p>
    <w:p w:rsidR="00A52CC6" w:rsidRPr="00B20401" w:rsidRDefault="00277913" w:rsidP="00EA0247">
      <w:pPr>
        <w:pStyle w:val="Nagwek1"/>
        <w:numPr>
          <w:ilvl w:val="1"/>
          <w:numId w:val="24"/>
        </w:numPr>
        <w:spacing w:before="120" w:after="120"/>
        <w:ind w:left="0" w:firstLine="0"/>
        <w:rPr>
          <w:sz w:val="20"/>
        </w:rPr>
      </w:pPr>
      <w:r w:rsidRPr="00B20401">
        <w:rPr>
          <w:sz w:val="20"/>
        </w:rPr>
        <w:t>Określenia podstawowe</w:t>
      </w:r>
    </w:p>
    <w:p w:rsidR="00175CDE" w:rsidRPr="00B20401" w:rsidRDefault="00277913" w:rsidP="00EA0247">
      <w:pPr>
        <w:pStyle w:val="Nagwek1"/>
        <w:numPr>
          <w:ilvl w:val="2"/>
          <w:numId w:val="24"/>
        </w:numPr>
        <w:spacing w:before="120" w:after="120"/>
        <w:ind w:left="0" w:firstLine="0"/>
        <w:rPr>
          <w:sz w:val="20"/>
        </w:rPr>
      </w:pPr>
      <w:r w:rsidRPr="00B20401">
        <w:rPr>
          <w:sz w:val="20"/>
        </w:rPr>
        <w:t>Oznakowanie poziome</w:t>
      </w:r>
    </w:p>
    <w:p w:rsidR="00A52CC6" w:rsidRDefault="00277913" w:rsidP="001955B5">
      <w:pPr>
        <w:pStyle w:val="Tekstpodstawowy"/>
      </w:pPr>
      <w:r>
        <w:rPr>
          <w:b/>
        </w:rPr>
        <w:t xml:space="preserve"> </w:t>
      </w:r>
      <w:r>
        <w:t>-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w:t>
      </w:r>
      <w:r>
        <w:rPr>
          <w:spacing w:val="-19"/>
        </w:rPr>
        <w:t xml:space="preserve"> </w:t>
      </w:r>
      <w:r>
        <w:t>nakazujące.</w:t>
      </w:r>
    </w:p>
    <w:p w:rsidR="00175CDE" w:rsidRPr="00B20401" w:rsidRDefault="00277913" w:rsidP="00EA0247">
      <w:pPr>
        <w:pStyle w:val="Nagwek1"/>
        <w:numPr>
          <w:ilvl w:val="2"/>
          <w:numId w:val="24"/>
        </w:numPr>
        <w:spacing w:before="120" w:after="120"/>
        <w:ind w:left="0" w:firstLine="0"/>
        <w:rPr>
          <w:sz w:val="20"/>
        </w:rPr>
      </w:pPr>
      <w:r w:rsidRPr="00B20401">
        <w:rPr>
          <w:sz w:val="20"/>
        </w:rPr>
        <w:t>Znaki podłużne</w:t>
      </w:r>
    </w:p>
    <w:p w:rsidR="00A52CC6" w:rsidRDefault="00277913" w:rsidP="001955B5">
      <w:pPr>
        <w:pStyle w:val="Tekstpodstawowy"/>
      </w:pPr>
      <w:r>
        <w:rPr>
          <w:b/>
        </w:rPr>
        <w:t xml:space="preserve"> </w:t>
      </w:r>
      <w:r>
        <w:t>- linie równoległe do osi jezdni lub odchylone od niej pod niewielkim kątem, występujące jako linie segregacyjne lub krawędziowe, przerywane lub</w:t>
      </w:r>
      <w:r>
        <w:rPr>
          <w:spacing w:val="-14"/>
        </w:rPr>
        <w:t xml:space="preserve"> </w:t>
      </w:r>
      <w:r>
        <w:t>ciągłe.</w:t>
      </w:r>
    </w:p>
    <w:p w:rsidR="00175CDE" w:rsidRPr="00B20401" w:rsidRDefault="00277913" w:rsidP="00EA0247">
      <w:pPr>
        <w:pStyle w:val="Nagwek1"/>
        <w:numPr>
          <w:ilvl w:val="2"/>
          <w:numId w:val="24"/>
        </w:numPr>
        <w:spacing w:before="120" w:after="120"/>
        <w:ind w:left="0" w:firstLine="0"/>
        <w:rPr>
          <w:sz w:val="20"/>
        </w:rPr>
      </w:pPr>
      <w:r w:rsidRPr="00B20401">
        <w:rPr>
          <w:sz w:val="20"/>
        </w:rPr>
        <w:t>Strzałki</w:t>
      </w:r>
    </w:p>
    <w:p w:rsidR="00A52CC6" w:rsidRDefault="00277913" w:rsidP="001955B5">
      <w:pPr>
        <w:pStyle w:val="Tekstpodstawowy"/>
      </w:pPr>
      <w:r>
        <w:rPr>
          <w:b/>
        </w:rPr>
        <w:t xml:space="preserve"> </w:t>
      </w:r>
      <w:r>
        <w:t>- znaki poziome na nawierzchni, występujące jako strzałki kierunkowe służące do wskazania dozwolonego kierunku jazdy oraz strzałki naprowadzające, które uprzedzają o konieczności opuszczenia pasa, na którym się</w:t>
      </w:r>
      <w:r>
        <w:rPr>
          <w:spacing w:val="-5"/>
        </w:rPr>
        <w:t xml:space="preserve"> </w:t>
      </w:r>
      <w:r>
        <w:t>znajdują.</w:t>
      </w:r>
    </w:p>
    <w:p w:rsidR="00175CDE" w:rsidRPr="00B20401" w:rsidRDefault="00277913" w:rsidP="00EA0247">
      <w:pPr>
        <w:pStyle w:val="Nagwek1"/>
        <w:numPr>
          <w:ilvl w:val="2"/>
          <w:numId w:val="24"/>
        </w:numPr>
        <w:spacing w:before="120" w:after="120"/>
        <w:ind w:left="0" w:firstLine="0"/>
        <w:rPr>
          <w:sz w:val="20"/>
        </w:rPr>
      </w:pPr>
      <w:r w:rsidRPr="00B20401">
        <w:rPr>
          <w:sz w:val="20"/>
        </w:rPr>
        <w:t>Znaki poprzeczne</w:t>
      </w:r>
    </w:p>
    <w:p w:rsidR="00A52CC6" w:rsidRDefault="00277913" w:rsidP="001955B5">
      <w:pPr>
        <w:pStyle w:val="Tekstpodstawowy"/>
      </w:pPr>
      <w:r>
        <w:rPr>
          <w:b/>
        </w:rPr>
        <w:t xml:space="preserve"> </w:t>
      </w:r>
      <w:r>
        <w:t>- znaki wyznaczające miejsca przeznaczone do ruchu pieszych i rowerzystów w poprzek jezdni oraz miejsca zatrzymania</w:t>
      </w:r>
      <w:r>
        <w:rPr>
          <w:spacing w:val="-1"/>
        </w:rPr>
        <w:t xml:space="preserve"> </w:t>
      </w:r>
      <w:r>
        <w:t>pojazdów.</w:t>
      </w:r>
    </w:p>
    <w:p w:rsidR="00175CDE" w:rsidRPr="00B20401" w:rsidRDefault="00277913" w:rsidP="00EA0247">
      <w:pPr>
        <w:pStyle w:val="Nagwek1"/>
        <w:numPr>
          <w:ilvl w:val="2"/>
          <w:numId w:val="24"/>
        </w:numPr>
        <w:spacing w:before="120" w:after="120"/>
        <w:ind w:left="0" w:firstLine="0"/>
        <w:rPr>
          <w:sz w:val="20"/>
        </w:rPr>
      </w:pPr>
      <w:r w:rsidRPr="00B20401">
        <w:rPr>
          <w:sz w:val="20"/>
        </w:rPr>
        <w:t>Znaki uzupełniające</w:t>
      </w:r>
    </w:p>
    <w:p w:rsidR="00A52CC6" w:rsidRDefault="00277913" w:rsidP="001955B5">
      <w:pPr>
        <w:pStyle w:val="Tekstpodstawowy"/>
      </w:pPr>
      <w:r>
        <w:rPr>
          <w:b/>
        </w:rPr>
        <w:t xml:space="preserve"> </w:t>
      </w:r>
      <w:r>
        <w:t>- znaki w postaci symboli, napisów, linii przystankowych oraz inne określające szczególne miejsca na</w:t>
      </w:r>
      <w:r>
        <w:rPr>
          <w:spacing w:val="-2"/>
        </w:rPr>
        <w:t xml:space="preserve"> </w:t>
      </w:r>
      <w:r>
        <w:t>nawierzchni.</w:t>
      </w:r>
    </w:p>
    <w:p w:rsidR="00175CDE" w:rsidRPr="00B20401" w:rsidRDefault="00277913" w:rsidP="00EA0247">
      <w:pPr>
        <w:pStyle w:val="Nagwek1"/>
        <w:numPr>
          <w:ilvl w:val="2"/>
          <w:numId w:val="24"/>
        </w:numPr>
        <w:spacing w:before="120" w:after="120"/>
        <w:ind w:left="0" w:firstLine="0"/>
        <w:rPr>
          <w:sz w:val="20"/>
        </w:rPr>
      </w:pPr>
      <w:r w:rsidRPr="00B20401">
        <w:rPr>
          <w:sz w:val="20"/>
        </w:rPr>
        <w:t>Materiały do poziomego znakowania dróg</w:t>
      </w:r>
    </w:p>
    <w:p w:rsidR="00A52CC6" w:rsidRDefault="00277913" w:rsidP="001955B5">
      <w:pPr>
        <w:pStyle w:val="Tekstpodstawowy"/>
      </w:pPr>
      <w:r>
        <w:rPr>
          <w:b/>
        </w:rPr>
        <w:t xml:space="preserve"> </w:t>
      </w:r>
      <w:r>
        <w:t xml:space="preserve">- materiały zawierające rozpuszczalniki, wolne od rozpuszczalników lub punktowe elementy odblaskowe, które mogą zostać naniesione albo wbudowane przez malowanie, natryskiwanie, odlewanie, wytłaczanie, rolowanie, klejenie itp. na nawierzchnie drogowe, </w:t>
      </w:r>
      <w:r w:rsidR="00643511">
        <w:t>stosowane w</w:t>
      </w:r>
      <w:r>
        <w:t xml:space="preserve"> temperaturze otoczenia lub w temperaturze podwyższonej. Materiały te powinny posiadać właściwości odblaskowe.</w:t>
      </w:r>
    </w:p>
    <w:p w:rsidR="00175CDE" w:rsidRPr="00B20401" w:rsidRDefault="00643511" w:rsidP="00EA0247">
      <w:pPr>
        <w:pStyle w:val="Nagwek1"/>
        <w:numPr>
          <w:ilvl w:val="2"/>
          <w:numId w:val="24"/>
        </w:numPr>
        <w:spacing w:before="120" w:after="120"/>
        <w:ind w:left="0" w:firstLine="0"/>
        <w:rPr>
          <w:sz w:val="20"/>
        </w:rPr>
      </w:pPr>
      <w:r w:rsidRPr="00B20401">
        <w:rPr>
          <w:sz w:val="20"/>
        </w:rPr>
        <w:t>Materiały do znakowania cienkowarstwowego</w:t>
      </w:r>
    </w:p>
    <w:p w:rsidR="00A52CC6" w:rsidRDefault="00643511" w:rsidP="001955B5">
      <w:pPr>
        <w:pStyle w:val="Tekstpodstawowy"/>
      </w:pPr>
      <w:r w:rsidRPr="00175CDE">
        <w:t xml:space="preserve"> - farby </w:t>
      </w:r>
      <w:r>
        <w:t>rozpuszczalnikowe, wodorozcieńczalne i</w:t>
      </w:r>
      <w:r w:rsidR="00277913">
        <w:t xml:space="preserve"> chemoutwardzalne nakładane warstwą grubości od 0,4 mm do 0,8 mm, mierzoną na</w:t>
      </w:r>
      <w:r w:rsidR="00277913">
        <w:rPr>
          <w:spacing w:val="-20"/>
        </w:rPr>
        <w:t xml:space="preserve"> </w:t>
      </w:r>
      <w:r w:rsidR="00277913">
        <w:t>mokro.</w:t>
      </w:r>
    </w:p>
    <w:p w:rsidR="00175CDE" w:rsidRPr="00B20401" w:rsidRDefault="00277913" w:rsidP="00EA0247">
      <w:pPr>
        <w:pStyle w:val="Nagwek1"/>
        <w:numPr>
          <w:ilvl w:val="2"/>
          <w:numId w:val="24"/>
        </w:numPr>
        <w:spacing w:before="120" w:after="120"/>
        <w:ind w:left="0" w:firstLine="0"/>
        <w:rPr>
          <w:sz w:val="20"/>
        </w:rPr>
      </w:pPr>
      <w:r w:rsidRPr="00B20401">
        <w:rPr>
          <w:sz w:val="20"/>
        </w:rPr>
        <w:t>Materiały do oznakowania grubowarstwowego</w:t>
      </w:r>
    </w:p>
    <w:p w:rsidR="00A52CC6" w:rsidRDefault="00277913" w:rsidP="001955B5">
      <w:pPr>
        <w:pStyle w:val="Tekstpodstawowy"/>
      </w:pPr>
      <w:r>
        <w:rPr>
          <w:b/>
        </w:rPr>
        <w:t xml:space="preserve"> </w:t>
      </w:r>
      <w:r>
        <w:t xml:space="preserve">- materiały nakładane warstwą grubości od 0,9 mm do 3,5 mm. Należą do nich masy termoplastyczne i masy chemoutwardzalne stosowane na zimno. Dla linii </w:t>
      </w:r>
      <w:r w:rsidR="00643511">
        <w:t>strukturalnych i</w:t>
      </w:r>
      <w:r>
        <w:t xml:space="preserve"> profilowanych grubość linii może wynosić 5</w:t>
      </w:r>
      <w:r>
        <w:rPr>
          <w:spacing w:val="-7"/>
        </w:rPr>
        <w:t xml:space="preserve"> </w:t>
      </w:r>
      <w:r>
        <w:t>mm.</w:t>
      </w:r>
    </w:p>
    <w:p w:rsidR="00175CDE" w:rsidRPr="00B20401" w:rsidRDefault="00277913" w:rsidP="00EA0247">
      <w:pPr>
        <w:pStyle w:val="Nagwek1"/>
        <w:numPr>
          <w:ilvl w:val="2"/>
          <w:numId w:val="24"/>
        </w:numPr>
        <w:spacing w:before="120" w:after="120"/>
        <w:ind w:left="0" w:firstLine="0"/>
        <w:rPr>
          <w:sz w:val="20"/>
        </w:rPr>
      </w:pPr>
      <w:r w:rsidRPr="00B20401">
        <w:rPr>
          <w:sz w:val="20"/>
        </w:rPr>
        <w:t>Okresowe oznakowanie drogowe</w:t>
      </w:r>
    </w:p>
    <w:p w:rsidR="00A52CC6" w:rsidRDefault="00277913" w:rsidP="001955B5">
      <w:pPr>
        <w:pStyle w:val="Tekstpodstawowy"/>
      </w:pPr>
      <w:r>
        <w:rPr>
          <w:b/>
        </w:rPr>
        <w:t xml:space="preserve"> </w:t>
      </w:r>
      <w:r>
        <w:t>- oznakowanie, którego czas użytkowania wynosi do 6</w:t>
      </w:r>
      <w:r>
        <w:rPr>
          <w:spacing w:val="-28"/>
        </w:rPr>
        <w:t xml:space="preserve"> </w:t>
      </w:r>
      <w:r>
        <w:t>m-cy.</w:t>
      </w:r>
    </w:p>
    <w:p w:rsidR="00175CDE" w:rsidRPr="00B20401" w:rsidRDefault="00277913" w:rsidP="00EA0247">
      <w:pPr>
        <w:pStyle w:val="Nagwek1"/>
        <w:numPr>
          <w:ilvl w:val="2"/>
          <w:numId w:val="24"/>
        </w:numPr>
        <w:spacing w:before="120" w:after="120"/>
        <w:ind w:left="0" w:firstLine="0"/>
        <w:rPr>
          <w:sz w:val="20"/>
        </w:rPr>
      </w:pPr>
      <w:r w:rsidRPr="00B20401">
        <w:rPr>
          <w:sz w:val="20"/>
        </w:rPr>
        <w:t>Kulki (mikrokulki) szklane</w:t>
      </w:r>
    </w:p>
    <w:p w:rsidR="00A52CC6" w:rsidRDefault="00277913" w:rsidP="001955B5">
      <w:pPr>
        <w:pStyle w:val="Tekstpodstawowy"/>
      </w:pPr>
      <w:r>
        <w:rPr>
          <w:b/>
        </w:rPr>
        <w:t xml:space="preserve"> </w:t>
      </w:r>
      <w:r>
        <w:t>- materiał do posypywania lub narzucania pod ciśnieniem na oznakowanie wykonane materiałami w stanie ciekłym, w celu uzyskania widzialności oznakowania w</w:t>
      </w:r>
      <w:r>
        <w:rPr>
          <w:spacing w:val="-24"/>
        </w:rPr>
        <w:t xml:space="preserve"> </w:t>
      </w:r>
      <w:r>
        <w:t>nocy.</w:t>
      </w:r>
    </w:p>
    <w:p w:rsidR="00175CDE" w:rsidRPr="00B20401" w:rsidRDefault="00277913" w:rsidP="00EA0247">
      <w:pPr>
        <w:pStyle w:val="Nagwek1"/>
        <w:numPr>
          <w:ilvl w:val="2"/>
          <w:numId w:val="24"/>
        </w:numPr>
        <w:spacing w:before="120" w:after="120"/>
        <w:ind w:left="0" w:firstLine="0"/>
        <w:rPr>
          <w:sz w:val="20"/>
        </w:rPr>
      </w:pPr>
      <w:r w:rsidRPr="00B20401">
        <w:rPr>
          <w:sz w:val="20"/>
        </w:rPr>
        <w:t>Kruszywo przeciwpoślizgowe</w:t>
      </w:r>
    </w:p>
    <w:p w:rsidR="00A52CC6" w:rsidRDefault="00277913" w:rsidP="001955B5">
      <w:pPr>
        <w:pStyle w:val="Tekstpodstawowy"/>
      </w:pPr>
      <w:r>
        <w:rPr>
          <w:b/>
        </w:rPr>
        <w:lastRenderedPageBreak/>
        <w:t xml:space="preserve"> </w:t>
      </w:r>
      <w:r>
        <w:t xml:space="preserve">- twarde ziarna pochodzenia naturalnego lub sztucznego stosowane do zapewnienia własności </w:t>
      </w:r>
      <w:r w:rsidR="00643511">
        <w:t>przeciwpoślizgowych poziomym</w:t>
      </w:r>
      <w:r>
        <w:t xml:space="preserve"> </w:t>
      </w:r>
      <w:r w:rsidR="00643511">
        <w:t>oznakowaniom dróg, stosowane</w:t>
      </w:r>
      <w:r>
        <w:t xml:space="preserve"> samo lub </w:t>
      </w:r>
      <w:r w:rsidR="00643511">
        <w:t>w mieszaninie</w:t>
      </w:r>
      <w:r>
        <w:t xml:space="preserve"> z kulkami</w:t>
      </w:r>
      <w:r>
        <w:rPr>
          <w:spacing w:val="-3"/>
        </w:rPr>
        <w:t xml:space="preserve"> </w:t>
      </w:r>
      <w:r>
        <w:t>szklanymi.</w:t>
      </w:r>
    </w:p>
    <w:p w:rsidR="00175CDE" w:rsidRPr="00B20401" w:rsidRDefault="00277913" w:rsidP="00EA0247">
      <w:pPr>
        <w:pStyle w:val="Nagwek1"/>
        <w:numPr>
          <w:ilvl w:val="2"/>
          <w:numId w:val="24"/>
        </w:numPr>
        <w:spacing w:before="120" w:after="120"/>
        <w:ind w:left="0" w:firstLine="0"/>
        <w:rPr>
          <w:sz w:val="20"/>
        </w:rPr>
      </w:pPr>
      <w:r w:rsidRPr="00B20401">
        <w:rPr>
          <w:sz w:val="20"/>
        </w:rPr>
        <w:t>Oznakowanie nowe</w:t>
      </w:r>
    </w:p>
    <w:p w:rsidR="00A52CC6" w:rsidRDefault="00277913" w:rsidP="001955B5">
      <w:pPr>
        <w:pStyle w:val="Tekstpodstawowy"/>
      </w:pPr>
      <w:r>
        <w:rPr>
          <w:b/>
        </w:rPr>
        <w:t xml:space="preserve"> </w:t>
      </w:r>
      <w:r>
        <w:t>- oznakowanie, w którym zakończył się czas schnięcia i nie upłynęło 30 dni od wykonania oznakowania. Pomiary właściwości oznakowania należy wykonywać od 14 do 30 dnia po wykonaniu oznakowania.</w:t>
      </w:r>
    </w:p>
    <w:p w:rsidR="00175CDE" w:rsidRPr="00B20401" w:rsidRDefault="00277913" w:rsidP="00EA0247">
      <w:pPr>
        <w:pStyle w:val="Nagwek1"/>
        <w:numPr>
          <w:ilvl w:val="2"/>
          <w:numId w:val="24"/>
        </w:numPr>
        <w:spacing w:before="120" w:after="120"/>
        <w:ind w:left="0" w:firstLine="0"/>
        <w:rPr>
          <w:sz w:val="20"/>
        </w:rPr>
      </w:pPr>
      <w:r w:rsidRPr="00B20401">
        <w:rPr>
          <w:sz w:val="20"/>
        </w:rPr>
        <w:t>Oznakowanie tymczasowe</w:t>
      </w:r>
    </w:p>
    <w:p w:rsidR="00A52CC6" w:rsidRDefault="00277913" w:rsidP="001955B5">
      <w:pPr>
        <w:pStyle w:val="Tekstpodstawowy"/>
      </w:pPr>
      <w:r>
        <w:rPr>
          <w:b/>
        </w:rPr>
        <w:t xml:space="preserve"> </w:t>
      </w:r>
      <w:r>
        <w:t>– oznakowanie z materiału o barwie żółtej, którego czas użytkowania związany jest z terminem zakończenia robót.</w:t>
      </w:r>
    </w:p>
    <w:p w:rsidR="00A52CC6" w:rsidRDefault="00277913" w:rsidP="001955B5">
      <w:pPr>
        <w:pStyle w:val="Tekstpodstawowy"/>
      </w:pPr>
      <w:r>
        <w:t>Pozostałe określenia są zgodne z obowiązującymi, odpowiednimi polskimi normami i z definicjami podanymi w ST DM.00.00.00 „Wymagania Ogólne” pkt 1.4.</w:t>
      </w:r>
    </w:p>
    <w:p w:rsidR="00A52CC6" w:rsidRPr="00B20401" w:rsidRDefault="00277913" w:rsidP="00EA0247">
      <w:pPr>
        <w:pStyle w:val="Nagwek1"/>
        <w:numPr>
          <w:ilvl w:val="1"/>
          <w:numId w:val="24"/>
        </w:numPr>
        <w:spacing w:before="120" w:after="120"/>
        <w:ind w:left="0" w:firstLine="0"/>
        <w:rPr>
          <w:sz w:val="20"/>
        </w:rPr>
      </w:pPr>
      <w:r w:rsidRPr="00B20401">
        <w:rPr>
          <w:sz w:val="20"/>
        </w:rPr>
        <w:t>Ogólne wymagania dotyczące Robót</w:t>
      </w:r>
    </w:p>
    <w:p w:rsidR="00A52CC6" w:rsidRDefault="00277913" w:rsidP="001955B5">
      <w:pPr>
        <w:pStyle w:val="Tekstpodstawowy"/>
      </w:pPr>
      <w:r>
        <w:t>Wykonawca Robót jest odpowiedzialny za jakość wykonania Robót i ich zgodność z PFU i Dokumentami Wykonawcy oraz poleceniami Inwestora.</w:t>
      </w:r>
    </w:p>
    <w:p w:rsidR="005F02F7" w:rsidRPr="00EE59BF" w:rsidRDefault="00277913" w:rsidP="001955B5">
      <w:pPr>
        <w:pStyle w:val="Tekstpodstawowy"/>
      </w:pPr>
      <w:r w:rsidRPr="00EE59BF">
        <w:t>Ogólne wymagania Robót podano w STWiORB DM.00</w:t>
      </w:r>
      <w:r w:rsidR="005F02F7" w:rsidRPr="00EE59BF">
        <w:t>.00.00 „Wymagania ogólne” p.1.</w:t>
      </w:r>
    </w:p>
    <w:p w:rsidR="00A52CC6" w:rsidRPr="00B20401" w:rsidRDefault="00277913" w:rsidP="00EA0247">
      <w:pPr>
        <w:pStyle w:val="Nagwek1"/>
        <w:numPr>
          <w:ilvl w:val="0"/>
          <w:numId w:val="24"/>
        </w:numPr>
        <w:spacing w:before="120" w:after="120"/>
        <w:ind w:left="0" w:firstLine="0"/>
        <w:rPr>
          <w:sz w:val="20"/>
        </w:rPr>
      </w:pPr>
      <w:r w:rsidRPr="00B20401">
        <w:rPr>
          <w:sz w:val="20"/>
        </w:rPr>
        <w:t>MATERIAŁY</w:t>
      </w:r>
    </w:p>
    <w:p w:rsidR="00A52CC6" w:rsidRPr="00B20401" w:rsidRDefault="00277913" w:rsidP="00EA0247">
      <w:pPr>
        <w:pStyle w:val="Nagwek1"/>
        <w:numPr>
          <w:ilvl w:val="1"/>
          <w:numId w:val="24"/>
        </w:numPr>
        <w:spacing w:before="120" w:after="120"/>
        <w:ind w:left="0" w:firstLine="0"/>
        <w:rPr>
          <w:sz w:val="20"/>
        </w:rPr>
      </w:pPr>
      <w:r w:rsidRPr="00B20401">
        <w:rPr>
          <w:sz w:val="20"/>
        </w:rPr>
        <w:t>Ogólne wymagania dotyczące materiałów</w:t>
      </w:r>
    </w:p>
    <w:p w:rsidR="00A52CC6" w:rsidRDefault="00277913" w:rsidP="001955B5">
      <w:pPr>
        <w:pStyle w:val="Tekstpodstawowy"/>
      </w:pPr>
      <w:r>
        <w:t>Ogólne wymagania dotyczące materiałów, ich pozyskiwania i składowania podano w ST DM.00.00.00 „Wymagania ogólne” p.2.</w:t>
      </w:r>
    </w:p>
    <w:p w:rsidR="00A52CC6" w:rsidRPr="00B20401" w:rsidRDefault="00277913" w:rsidP="00EA0247">
      <w:pPr>
        <w:pStyle w:val="Nagwek1"/>
        <w:numPr>
          <w:ilvl w:val="1"/>
          <w:numId w:val="24"/>
        </w:numPr>
        <w:spacing w:before="120" w:after="120"/>
        <w:ind w:left="0" w:firstLine="0"/>
        <w:rPr>
          <w:sz w:val="20"/>
        </w:rPr>
      </w:pPr>
      <w:r w:rsidRPr="00B20401">
        <w:rPr>
          <w:sz w:val="20"/>
        </w:rPr>
        <w:t>Dokument dopuszczający do stosowania materiałów</w:t>
      </w:r>
    </w:p>
    <w:p w:rsidR="00A52CC6" w:rsidRDefault="00277913" w:rsidP="001955B5">
      <w:pPr>
        <w:pStyle w:val="Tekstpodstawowy"/>
      </w:pPr>
      <w:r>
        <w:t xml:space="preserve">Materiały stosowane przez Wykonawcę do </w:t>
      </w:r>
      <w:r w:rsidR="00643511">
        <w:t>poziomego oznakowania</w:t>
      </w:r>
      <w:r>
        <w:t xml:space="preserve"> </w:t>
      </w:r>
      <w:r w:rsidR="00643511">
        <w:t>dróg powinny</w:t>
      </w:r>
      <w:r>
        <w:t xml:space="preserve"> spełniać warunki </w:t>
      </w:r>
      <w:r w:rsidR="00643511">
        <w:t>postawione w</w:t>
      </w:r>
      <w:r>
        <w:t xml:space="preserve"> rozporządzeniu Ministra Infrastruktury z dnia 3 lipca 2003 r. „Szczegółowe warunki techniczne dla znaków drogowych poziomych i warunki ich umieszczania na</w:t>
      </w:r>
      <w:r>
        <w:rPr>
          <w:spacing w:val="-8"/>
        </w:rPr>
        <w:t xml:space="preserve"> </w:t>
      </w:r>
      <w:r>
        <w:t>drogach”.</w:t>
      </w:r>
    </w:p>
    <w:p w:rsidR="00A52CC6" w:rsidRDefault="00277913" w:rsidP="001955B5">
      <w:pPr>
        <w:pStyle w:val="Tekstpodstawowy"/>
      </w:pPr>
      <w:r>
        <w:t>Producenci</w:t>
      </w:r>
      <w:r>
        <w:rPr>
          <w:spacing w:val="-2"/>
        </w:rPr>
        <w:t xml:space="preserve"> </w:t>
      </w:r>
      <w:r>
        <w:t>powinni</w:t>
      </w:r>
      <w:r>
        <w:rPr>
          <w:spacing w:val="-1"/>
        </w:rPr>
        <w:t xml:space="preserve"> </w:t>
      </w:r>
      <w:r>
        <w:t>oznakować</w:t>
      </w:r>
      <w:r>
        <w:rPr>
          <w:spacing w:val="-2"/>
        </w:rPr>
        <w:t xml:space="preserve"> </w:t>
      </w:r>
      <w:r>
        <w:t>wyroby</w:t>
      </w:r>
      <w:r>
        <w:rPr>
          <w:spacing w:val="-1"/>
        </w:rPr>
        <w:t xml:space="preserve"> </w:t>
      </w:r>
      <w:r>
        <w:t>znakiem</w:t>
      </w:r>
      <w:r>
        <w:rPr>
          <w:spacing w:val="-5"/>
        </w:rPr>
        <w:t xml:space="preserve"> </w:t>
      </w:r>
      <w:r>
        <w:t>budowlanym</w:t>
      </w:r>
      <w:r>
        <w:rPr>
          <w:spacing w:val="-2"/>
        </w:rPr>
        <w:t xml:space="preserve"> </w:t>
      </w:r>
      <w:r>
        <w:t>B,</w:t>
      </w:r>
      <w:r>
        <w:rPr>
          <w:spacing w:val="-3"/>
        </w:rPr>
        <w:t xml:space="preserve"> </w:t>
      </w:r>
      <w:r>
        <w:t>zgodnie</w:t>
      </w:r>
      <w:r>
        <w:rPr>
          <w:spacing w:val="-2"/>
        </w:rPr>
        <w:t xml:space="preserve"> </w:t>
      </w:r>
      <w:r>
        <w:t>z</w:t>
      </w:r>
      <w:r>
        <w:rPr>
          <w:spacing w:val="-3"/>
        </w:rPr>
        <w:t xml:space="preserve"> </w:t>
      </w:r>
      <w:r>
        <w:t>Dz.</w:t>
      </w:r>
      <w:r>
        <w:rPr>
          <w:spacing w:val="-2"/>
        </w:rPr>
        <w:t xml:space="preserve"> </w:t>
      </w:r>
      <w:r>
        <w:t>U.</w:t>
      </w:r>
      <w:r>
        <w:rPr>
          <w:spacing w:val="-3"/>
        </w:rPr>
        <w:t xml:space="preserve"> </w:t>
      </w:r>
      <w:r w:rsidR="00643511">
        <w:t>Nr</w:t>
      </w:r>
      <w:r>
        <w:rPr>
          <w:spacing w:val="-5"/>
        </w:rPr>
        <w:t xml:space="preserve"> </w:t>
      </w:r>
      <w:r>
        <w:t>198,</w:t>
      </w:r>
      <w:r>
        <w:rPr>
          <w:spacing w:val="-4"/>
        </w:rPr>
        <w:t xml:space="preserve"> </w:t>
      </w:r>
      <w:r>
        <w:t>poz.</w:t>
      </w:r>
      <w:r>
        <w:rPr>
          <w:spacing w:val="-3"/>
        </w:rPr>
        <w:t xml:space="preserve"> </w:t>
      </w:r>
      <w:r>
        <w:t>2041 lub</w:t>
      </w:r>
      <w:r>
        <w:rPr>
          <w:spacing w:val="-4"/>
        </w:rPr>
        <w:t xml:space="preserve"> </w:t>
      </w:r>
      <w:r>
        <w:t>znakiem</w:t>
      </w:r>
      <w:r>
        <w:rPr>
          <w:spacing w:val="-1"/>
        </w:rPr>
        <w:t xml:space="preserve"> </w:t>
      </w:r>
      <w:r>
        <w:t xml:space="preserve">CE, zgodnie z Dz. U. nr 195, </w:t>
      </w:r>
      <w:r w:rsidR="00643511">
        <w:t>poz., 2011 co</w:t>
      </w:r>
      <w:r>
        <w:t xml:space="preserve"> oznacza wystawienie deklaracji zgodności z normą zharmonizowaną (np. </w:t>
      </w:r>
      <w:r>
        <w:rPr>
          <w:spacing w:val="-2"/>
        </w:rPr>
        <w:t xml:space="preserve">dla </w:t>
      </w:r>
      <w:r>
        <w:t>kulek szklanych i punktowych elementów</w:t>
      </w:r>
      <w:r>
        <w:rPr>
          <w:spacing w:val="-8"/>
        </w:rPr>
        <w:t xml:space="preserve"> </w:t>
      </w:r>
      <w:r>
        <w:t>odblaskowych).</w:t>
      </w:r>
    </w:p>
    <w:p w:rsidR="00A52CC6" w:rsidRDefault="00277913" w:rsidP="001955B5">
      <w:pPr>
        <w:pStyle w:val="Tekstpodstawowy"/>
      </w:pPr>
      <w:r>
        <w:t>Należy zastosować materiały spełniające wymagania Wyrobu budowlanego dopuszczonego do stosowania przy wykonywaniu robót budowlanych, na podstawie Dz.U. nr 92, poz. 0881 oraz zgodnie z zapisami p.2.3 STWIORB DM.00.00.00.00.</w:t>
      </w:r>
    </w:p>
    <w:p w:rsidR="00A52CC6" w:rsidRPr="00B20401" w:rsidRDefault="00277913" w:rsidP="00EA0247">
      <w:pPr>
        <w:pStyle w:val="Nagwek1"/>
        <w:numPr>
          <w:ilvl w:val="1"/>
          <w:numId w:val="24"/>
        </w:numPr>
        <w:spacing w:before="120" w:after="120"/>
        <w:ind w:left="0" w:firstLine="0"/>
        <w:rPr>
          <w:sz w:val="20"/>
        </w:rPr>
      </w:pPr>
      <w:r w:rsidRPr="00B20401">
        <w:rPr>
          <w:sz w:val="20"/>
        </w:rPr>
        <w:t xml:space="preserve">Badania </w:t>
      </w:r>
      <w:r w:rsidR="00643511" w:rsidRPr="00B20401">
        <w:rPr>
          <w:sz w:val="20"/>
        </w:rPr>
        <w:t>materiałów, których</w:t>
      </w:r>
      <w:r w:rsidRPr="00B20401">
        <w:rPr>
          <w:sz w:val="20"/>
        </w:rPr>
        <w:t xml:space="preserve"> jakość budzi wątpliwość</w:t>
      </w:r>
    </w:p>
    <w:p w:rsidR="00A52CC6" w:rsidRDefault="00277913" w:rsidP="001955B5">
      <w:pPr>
        <w:pStyle w:val="Tekstpodstawowy"/>
      </w:pPr>
      <w:r>
        <w:t>Wykonawca powinien przeprowadzić dodatkowe badania tych materiałów, które budzą wątpliwości jego lub Inwestora, co do jakości, w celu stwierdzenia czy odpowiadają one wymaganiom określonym w punkcie 2 niniejszej STWiORB. Badania te Wykonawca zleci IBDiM lub akredytowanemu laboratorium. Badania powinny być wykonane zgodnie z PN-EN 1871:2003 Materiały do poziomego oznakowania dróg. Właściwości fizyczne.</w:t>
      </w:r>
    </w:p>
    <w:p w:rsidR="00A52CC6" w:rsidRPr="00B20401" w:rsidRDefault="00277913" w:rsidP="00EA0247">
      <w:pPr>
        <w:pStyle w:val="Nagwek1"/>
        <w:numPr>
          <w:ilvl w:val="1"/>
          <w:numId w:val="24"/>
        </w:numPr>
        <w:spacing w:before="120" w:after="120"/>
        <w:ind w:left="0" w:firstLine="0"/>
        <w:rPr>
          <w:sz w:val="20"/>
        </w:rPr>
      </w:pPr>
      <w:r w:rsidRPr="00B20401">
        <w:rPr>
          <w:sz w:val="20"/>
        </w:rPr>
        <w:t>Wymagania wobec materiałów do poziomego oznakowania dróg</w:t>
      </w:r>
    </w:p>
    <w:p w:rsidR="00A52CC6" w:rsidRPr="00B20401" w:rsidRDefault="00277913" w:rsidP="00EA0247">
      <w:pPr>
        <w:pStyle w:val="Nagwek1"/>
        <w:numPr>
          <w:ilvl w:val="2"/>
          <w:numId w:val="24"/>
        </w:numPr>
        <w:spacing w:before="120" w:after="120"/>
        <w:ind w:left="0" w:firstLine="0"/>
        <w:rPr>
          <w:sz w:val="20"/>
        </w:rPr>
      </w:pPr>
      <w:r w:rsidRPr="00B20401">
        <w:rPr>
          <w:sz w:val="20"/>
        </w:rPr>
        <w:t>Materiały do oznakowań cienkowarstwowych</w:t>
      </w:r>
    </w:p>
    <w:p w:rsidR="00A52CC6" w:rsidRDefault="00277913" w:rsidP="001955B5">
      <w:pPr>
        <w:pStyle w:val="Tekstpodstawowy"/>
      </w:pPr>
      <w:r>
        <w:t xml:space="preserve">Materiałami do oznakowania cienkowarstwowego powinny być farby nakładane warstwą grubości od 0,4 mm </w:t>
      </w:r>
      <w:r w:rsidR="00643511">
        <w:t>do 0,8 mm</w:t>
      </w:r>
      <w:r>
        <w:t xml:space="preserve"> (na mokro). Powinny to być ciekłe produkty zawierające ciała stałe rozproszone w organicznym rozpuszczalniku lub w wodzie, które mogą występować w układach jedno lub</w:t>
      </w:r>
      <w:r>
        <w:rPr>
          <w:spacing w:val="-25"/>
        </w:rPr>
        <w:t xml:space="preserve"> </w:t>
      </w:r>
      <w:r>
        <w:t>wieloskładnikowych.</w:t>
      </w:r>
    </w:p>
    <w:p w:rsidR="00A52CC6" w:rsidRDefault="00277913" w:rsidP="001955B5">
      <w:pPr>
        <w:pStyle w:val="Tekstpodstawowy"/>
      </w:pPr>
      <w:r>
        <w:t xml:space="preserve">Podczas </w:t>
      </w:r>
      <w:r w:rsidR="00643511">
        <w:t>nakładania na nawierzchnię pędzlem, wałkiem lub przez natrysk, powinny tworzyć spójną warstwę w</w:t>
      </w:r>
      <w:r>
        <w:t xml:space="preserve"> procesie odparowania i/lub w procesie chemicznym. Właściwości fizyczne poszczególnych materiałów do poziomego oznakowania cienkowarstwowego określają aprobaty</w:t>
      </w:r>
      <w:r>
        <w:rPr>
          <w:spacing w:val="-10"/>
        </w:rPr>
        <w:t xml:space="preserve"> </w:t>
      </w:r>
      <w:r>
        <w:t>techniczne.</w:t>
      </w:r>
    </w:p>
    <w:p w:rsidR="00A52CC6" w:rsidRPr="00B20401" w:rsidRDefault="00277913" w:rsidP="00EA0247">
      <w:pPr>
        <w:pStyle w:val="Nagwek1"/>
        <w:numPr>
          <w:ilvl w:val="2"/>
          <w:numId w:val="24"/>
        </w:numPr>
        <w:spacing w:before="120" w:after="120"/>
        <w:ind w:left="0" w:firstLine="0"/>
        <w:rPr>
          <w:sz w:val="20"/>
        </w:rPr>
      </w:pPr>
      <w:r w:rsidRPr="00B20401">
        <w:rPr>
          <w:sz w:val="20"/>
        </w:rPr>
        <w:t>Materiały do oznakowań grubowarstwowych</w:t>
      </w:r>
    </w:p>
    <w:p w:rsidR="00A52CC6" w:rsidRDefault="00277913" w:rsidP="001955B5">
      <w:pPr>
        <w:pStyle w:val="Tekstpodstawowy"/>
      </w:pPr>
      <w:r>
        <w:t>Oznakowanie poziome drogi ekspresowej oraz odcinków dróg krajowych planowanych do przebudowy, należy wykonać jako grubowarstwowe:</w:t>
      </w:r>
    </w:p>
    <w:p w:rsidR="00A52CC6" w:rsidRDefault="00277913" w:rsidP="001955B5">
      <w:pPr>
        <w:pStyle w:val="Tekstpodstawowy"/>
      </w:pPr>
      <w:r>
        <w:t>linie krawędziowe i osiowe na ciągu głównym w technologii chemoutwardzalnej, termoplastycznej lub taśmowej grubowarstwowej strukturalnej, gdzie najechanie na linie krawędziowe</w:t>
      </w:r>
      <w:r>
        <w:rPr>
          <w:spacing w:val="-9"/>
        </w:rPr>
        <w:t xml:space="preserve"> </w:t>
      </w:r>
      <w:r>
        <w:t>powinno</w:t>
      </w:r>
    </w:p>
    <w:p w:rsidR="00A52CC6" w:rsidRDefault="00277913" w:rsidP="001955B5">
      <w:pPr>
        <w:pStyle w:val="Tekstpodstawowy"/>
      </w:pPr>
      <w:r>
        <w:t>powodować powstanie efektu akustycznego i wibracji;</w:t>
      </w:r>
    </w:p>
    <w:p w:rsidR="00A52CC6" w:rsidRDefault="00277913" w:rsidP="001955B5">
      <w:pPr>
        <w:pStyle w:val="Tekstpodstawowy"/>
      </w:pPr>
      <w:r>
        <w:t>pozostałe</w:t>
      </w:r>
      <w:r>
        <w:rPr>
          <w:spacing w:val="-10"/>
        </w:rPr>
        <w:t xml:space="preserve"> </w:t>
      </w:r>
      <w:r>
        <w:t>linie</w:t>
      </w:r>
      <w:r>
        <w:rPr>
          <w:spacing w:val="-7"/>
        </w:rPr>
        <w:t xml:space="preserve"> </w:t>
      </w:r>
      <w:r>
        <w:t>oznakowania</w:t>
      </w:r>
      <w:r>
        <w:rPr>
          <w:spacing w:val="-10"/>
        </w:rPr>
        <w:t xml:space="preserve"> </w:t>
      </w:r>
      <w:r>
        <w:t>poziomego</w:t>
      </w:r>
      <w:r>
        <w:rPr>
          <w:spacing w:val="-7"/>
        </w:rPr>
        <w:t xml:space="preserve"> </w:t>
      </w:r>
      <w:r>
        <w:t>w</w:t>
      </w:r>
      <w:r>
        <w:rPr>
          <w:spacing w:val="-7"/>
        </w:rPr>
        <w:t xml:space="preserve"> </w:t>
      </w:r>
      <w:r>
        <w:t>technologii</w:t>
      </w:r>
      <w:r>
        <w:rPr>
          <w:spacing w:val="-4"/>
        </w:rPr>
        <w:t xml:space="preserve"> </w:t>
      </w:r>
      <w:r>
        <w:t>profilowanej</w:t>
      </w:r>
      <w:r>
        <w:rPr>
          <w:spacing w:val="-9"/>
        </w:rPr>
        <w:t xml:space="preserve"> </w:t>
      </w:r>
      <w:r>
        <w:t>lub</w:t>
      </w:r>
      <w:r>
        <w:rPr>
          <w:spacing w:val="-8"/>
        </w:rPr>
        <w:t xml:space="preserve"> </w:t>
      </w:r>
      <w:r>
        <w:t>strukturalnej.</w:t>
      </w:r>
    </w:p>
    <w:p w:rsidR="00A52CC6" w:rsidRDefault="00277913" w:rsidP="001955B5">
      <w:pPr>
        <w:pStyle w:val="Tekstpodstawowy"/>
      </w:pPr>
      <w:r>
        <w:t>Materiałami do wykonywania oznakowania grubowarstwowego powinny być masy termoplastyczne lub masy chemoutwardzalne, umożliwiające nakładanie ich warstwą grubości od 3,0mm do</w:t>
      </w:r>
      <w:r>
        <w:rPr>
          <w:spacing w:val="-12"/>
        </w:rPr>
        <w:t xml:space="preserve"> </w:t>
      </w:r>
      <w:r>
        <w:t>5,0mm.</w:t>
      </w:r>
    </w:p>
    <w:p w:rsidR="00A52CC6" w:rsidRDefault="00277913" w:rsidP="001955B5">
      <w:pPr>
        <w:pStyle w:val="Tekstpodstawowy"/>
      </w:pPr>
      <w:r>
        <w:lastRenderedPageBreak/>
        <w:t>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w:t>
      </w:r>
    </w:p>
    <w:p w:rsidR="00A52CC6" w:rsidRDefault="00277913" w:rsidP="001955B5">
      <w:pPr>
        <w:pStyle w:val="Tekstpodstawowy"/>
      </w:pPr>
      <w:r>
        <w:t xml:space="preserve">Masy chemoutwardzalne </w:t>
      </w:r>
      <w:r w:rsidR="00643511">
        <w:t>powinny być substancjami jedno-, dwu- lub trójskładnikowymi, mieszanymi ze sobą w</w:t>
      </w:r>
      <w:r>
        <w:t xml:space="preserve"> proporcjach ustalonych przez Producenta i nakładanymi na nawierzchnię z użyciem odpowiedniego sprzętu. Masy te powinny tworzyć powłokę, której spójność zapewnia jedynie reakcja</w:t>
      </w:r>
      <w:r>
        <w:rPr>
          <w:spacing w:val="-12"/>
        </w:rPr>
        <w:t xml:space="preserve"> </w:t>
      </w:r>
      <w:r>
        <w:t>chemiczna.</w:t>
      </w:r>
    </w:p>
    <w:p w:rsidR="00A52CC6" w:rsidRDefault="00277913" w:rsidP="001955B5">
      <w:pPr>
        <w:pStyle w:val="Tekstpodstawowy"/>
      </w:pPr>
      <w:r>
        <w:t>Właściwości fizyczne materiałów do oznakowania grubowarstwowego i wykonanych z nich elementów prefabrykowanych określają stosowne dokumenty dopuszczające Wyrób do robót budowlanych.</w:t>
      </w:r>
    </w:p>
    <w:p w:rsidR="00A52CC6" w:rsidRPr="00B20401" w:rsidRDefault="00277913" w:rsidP="00EA0247">
      <w:pPr>
        <w:pStyle w:val="Nagwek1"/>
        <w:numPr>
          <w:ilvl w:val="2"/>
          <w:numId w:val="24"/>
        </w:numPr>
        <w:spacing w:before="120" w:after="120"/>
        <w:ind w:left="0" w:firstLine="0"/>
        <w:rPr>
          <w:sz w:val="20"/>
        </w:rPr>
      </w:pPr>
      <w:r w:rsidRPr="00B20401">
        <w:rPr>
          <w:sz w:val="20"/>
        </w:rPr>
        <w:t>Zawartość składników lotnych w materiałach do znakowania cienkowarstwowego</w:t>
      </w:r>
    </w:p>
    <w:p w:rsidR="00A52CC6" w:rsidRDefault="00277913" w:rsidP="001955B5">
      <w:pPr>
        <w:pStyle w:val="Tekstpodstawowy"/>
      </w:pPr>
      <w:r>
        <w:t>Zawartość składników lotnych (rozpuszczalników organicznych) nie powinna przekraczać 25% (m/m) w postaci gotowej do aplikacji, w materiałach do znakowania cienkowarstwowego. Nie dopuszcza się stosowania materiałów zawierających rozpuszczalnik aromatyczny (jak np. toluen, ksylen, etylobenzen) w ilości większej niż 8 % (m/m). Nie dopuszcza się stosowania materiałów zawierających benzen i rozpuszczalniki chlorowane.</w:t>
      </w:r>
    </w:p>
    <w:p w:rsidR="00A52CC6" w:rsidRPr="00B20401" w:rsidRDefault="00277913" w:rsidP="00EA0247">
      <w:pPr>
        <w:pStyle w:val="Nagwek1"/>
        <w:numPr>
          <w:ilvl w:val="2"/>
          <w:numId w:val="24"/>
        </w:numPr>
        <w:spacing w:before="120" w:after="120"/>
        <w:ind w:left="0" w:firstLine="0"/>
        <w:rPr>
          <w:sz w:val="20"/>
        </w:rPr>
      </w:pPr>
      <w:r w:rsidRPr="00B20401">
        <w:rPr>
          <w:sz w:val="20"/>
        </w:rPr>
        <w:t>Kulki szklane</w:t>
      </w:r>
    </w:p>
    <w:p w:rsidR="00A52CC6" w:rsidRDefault="00277913" w:rsidP="001955B5">
      <w:pPr>
        <w:pStyle w:val="Tekstpodstawowy"/>
      </w:pPr>
      <w:r>
        <w:t>Materiały w postaci kulek szklanych refleksyjnych do posypywania lub narzucania pod ciśnieniem na materiały do oznakowania powinny zapewniać widzialność w nocy poprzez odbicie powrotne w kierunku pojazdu wiązki światła wysyłanej przez reflektory pojazdu.</w:t>
      </w:r>
    </w:p>
    <w:p w:rsidR="00A52CC6" w:rsidRDefault="00277913" w:rsidP="001955B5">
      <w:pPr>
        <w:pStyle w:val="Tekstpodstawowy"/>
      </w:pPr>
      <w:r>
        <w:t>Kulki</w:t>
      </w:r>
      <w:r>
        <w:rPr>
          <w:spacing w:val="-8"/>
        </w:rPr>
        <w:t xml:space="preserve"> </w:t>
      </w:r>
      <w:r>
        <w:t>szklane</w:t>
      </w:r>
      <w:r>
        <w:rPr>
          <w:spacing w:val="-4"/>
        </w:rPr>
        <w:t xml:space="preserve"> </w:t>
      </w:r>
      <w:r>
        <w:t>powinny</w:t>
      </w:r>
      <w:r>
        <w:rPr>
          <w:spacing w:val="-4"/>
        </w:rPr>
        <w:t xml:space="preserve"> </w:t>
      </w:r>
      <w:r>
        <w:t>charakteryzować</w:t>
      </w:r>
      <w:r>
        <w:rPr>
          <w:spacing w:val="-2"/>
        </w:rPr>
        <w:t xml:space="preserve"> </w:t>
      </w:r>
      <w:r>
        <w:t>się</w:t>
      </w:r>
      <w:r>
        <w:rPr>
          <w:spacing w:val="-5"/>
        </w:rPr>
        <w:t xml:space="preserve"> </w:t>
      </w:r>
      <w:r>
        <w:t>współczynnikiem</w:t>
      </w:r>
      <w:r>
        <w:rPr>
          <w:spacing w:val="-3"/>
        </w:rPr>
        <w:t xml:space="preserve"> </w:t>
      </w:r>
      <w:r>
        <w:t>załamania</w:t>
      </w:r>
      <w:r>
        <w:rPr>
          <w:spacing w:val="-5"/>
        </w:rPr>
        <w:t xml:space="preserve"> </w:t>
      </w:r>
      <w:r>
        <w:t>światła</w:t>
      </w:r>
      <w:r>
        <w:rPr>
          <w:spacing w:val="-5"/>
        </w:rPr>
        <w:t xml:space="preserve"> </w:t>
      </w:r>
      <w:r>
        <w:t>powyżej</w:t>
      </w:r>
      <w:r>
        <w:rPr>
          <w:spacing w:val="-4"/>
        </w:rPr>
        <w:t xml:space="preserve"> </w:t>
      </w:r>
      <w:r>
        <w:t>1,50, wykazywać</w:t>
      </w:r>
      <w:r>
        <w:rPr>
          <w:spacing w:val="-3"/>
        </w:rPr>
        <w:t xml:space="preserve"> </w:t>
      </w:r>
      <w:r>
        <w:t xml:space="preserve">odporność na wodę, kwas solny, chlorek wapniowy i siarczek sodowy oraz zawierać </w:t>
      </w:r>
      <w:r w:rsidR="00643511">
        <w:t>nie więcej</w:t>
      </w:r>
      <w:r>
        <w:t xml:space="preserve"> niż 20% kulek z </w:t>
      </w:r>
      <w:r w:rsidR="00643511">
        <w:t>defektami w</w:t>
      </w:r>
      <w:r>
        <w:t xml:space="preserve"> przypadku kulek o maksymalnej średnicy poniżej 1 mm oraz 30 % w przypadku kulek o maksymalnej średnicy równej i większej niż 1 mm. Krzywa uziarnienia powinna mieścić się w krzywych granicznych deklarowanych przez Producenta.</w:t>
      </w:r>
    </w:p>
    <w:p w:rsidR="00A52CC6" w:rsidRDefault="00277913" w:rsidP="001955B5">
      <w:pPr>
        <w:pStyle w:val="Tekstpodstawowy"/>
      </w:pPr>
      <w:r>
        <w:t>Kulki szklane hydrofobizowane powinny ponadto wykazywać stopień hydrofobizacji co najmniej 80%.</w:t>
      </w:r>
    </w:p>
    <w:p w:rsidR="00A52CC6" w:rsidRDefault="00277913" w:rsidP="001955B5">
      <w:pPr>
        <w:pStyle w:val="Tekstpodstawowy"/>
      </w:pPr>
      <w:r>
        <w:t>Wymagania i metody badań kulek szklanych podano w PN-EN 1423:2000 Materiały do poziomego oznakowania dróg Materiały do posypywania. Kulki szklane, kruszywo przeciwpoślizgowe i ich mieszaniny i PN-EN 1423:2000/A1:2005 Materiały do poziomego oznakowania dróg Materiały do posypywania. Kulki szklane, kruszywo przeciwpoślizgowe i ich mieszaniny (Zmiana</w:t>
      </w:r>
      <w:r>
        <w:rPr>
          <w:spacing w:val="-5"/>
        </w:rPr>
        <w:t xml:space="preserve"> </w:t>
      </w:r>
      <w:r>
        <w:t>A1:2005).</w:t>
      </w:r>
    </w:p>
    <w:p w:rsidR="00A52CC6" w:rsidRDefault="00277913" w:rsidP="001955B5">
      <w:pPr>
        <w:pStyle w:val="Tekstpodstawowy"/>
      </w:pPr>
      <w:r>
        <w:t>W</w:t>
      </w:r>
      <w:r>
        <w:rPr>
          <w:spacing w:val="-5"/>
        </w:rPr>
        <w:t xml:space="preserve"> </w:t>
      </w:r>
      <w:r>
        <w:t>przedmiotowym</w:t>
      </w:r>
      <w:r>
        <w:rPr>
          <w:spacing w:val="-2"/>
        </w:rPr>
        <w:t xml:space="preserve"> </w:t>
      </w:r>
      <w:r>
        <w:t>zadaniu</w:t>
      </w:r>
      <w:r>
        <w:rPr>
          <w:spacing w:val="-5"/>
        </w:rPr>
        <w:t xml:space="preserve"> </w:t>
      </w:r>
      <w:r>
        <w:t>należy</w:t>
      </w:r>
      <w:r>
        <w:rPr>
          <w:spacing w:val="-2"/>
        </w:rPr>
        <w:t xml:space="preserve"> </w:t>
      </w:r>
      <w:r>
        <w:t>zastosować</w:t>
      </w:r>
      <w:r>
        <w:rPr>
          <w:spacing w:val="-3"/>
        </w:rPr>
        <w:t xml:space="preserve"> </w:t>
      </w:r>
      <w:r>
        <w:t>mikrokulki</w:t>
      </w:r>
      <w:r>
        <w:rPr>
          <w:spacing w:val="-3"/>
        </w:rPr>
        <w:t xml:space="preserve"> </w:t>
      </w:r>
      <w:r>
        <w:t>szklane</w:t>
      </w:r>
      <w:r>
        <w:rPr>
          <w:spacing w:val="-5"/>
        </w:rPr>
        <w:t xml:space="preserve"> </w:t>
      </w:r>
      <w:r>
        <w:t>o</w:t>
      </w:r>
      <w:r>
        <w:rPr>
          <w:spacing w:val="-4"/>
        </w:rPr>
        <w:t xml:space="preserve"> </w:t>
      </w:r>
      <w:r>
        <w:t>uziarnieniu</w:t>
      </w:r>
      <w:r>
        <w:rPr>
          <w:spacing w:val="-4"/>
        </w:rPr>
        <w:t xml:space="preserve"> </w:t>
      </w:r>
      <w:r>
        <w:t>średnim,</w:t>
      </w:r>
      <w:r>
        <w:rPr>
          <w:spacing w:val="-3"/>
        </w:rPr>
        <w:t xml:space="preserve"> </w:t>
      </w:r>
      <w:r>
        <w:t>pokryte</w:t>
      </w:r>
      <w:r>
        <w:rPr>
          <w:spacing w:val="-5"/>
        </w:rPr>
        <w:t xml:space="preserve"> </w:t>
      </w:r>
      <w:r>
        <w:t>powłoką</w:t>
      </w:r>
      <w:r>
        <w:rPr>
          <w:spacing w:val="-2"/>
        </w:rPr>
        <w:t xml:space="preserve"> </w:t>
      </w:r>
      <w:r>
        <w:t>adhezyjną, poprawiającą przyczepność mikrokulek w farbie. Wybrane przez siebie rozwiązanie Wykonawca przedstawia do akceptacji</w:t>
      </w:r>
      <w:r>
        <w:rPr>
          <w:spacing w:val="-5"/>
        </w:rPr>
        <w:t xml:space="preserve"> </w:t>
      </w:r>
      <w:r>
        <w:t>Inwestorowi.</w:t>
      </w:r>
    </w:p>
    <w:p w:rsidR="00A52CC6" w:rsidRPr="00B20401" w:rsidRDefault="00277913" w:rsidP="00EA0247">
      <w:pPr>
        <w:pStyle w:val="Nagwek1"/>
        <w:numPr>
          <w:ilvl w:val="2"/>
          <w:numId w:val="24"/>
        </w:numPr>
        <w:spacing w:before="120" w:after="120"/>
        <w:ind w:left="0" w:firstLine="0"/>
        <w:rPr>
          <w:sz w:val="20"/>
        </w:rPr>
      </w:pPr>
      <w:r w:rsidRPr="00B20401">
        <w:rPr>
          <w:sz w:val="20"/>
        </w:rPr>
        <w:t>Materiał uszorstniający oznakowanie</w:t>
      </w:r>
    </w:p>
    <w:p w:rsidR="00A52CC6" w:rsidRDefault="00277913" w:rsidP="001955B5">
      <w:pPr>
        <w:pStyle w:val="Tekstpodstawowy"/>
      </w:pPr>
      <w:r>
        <w:t xml:space="preserve">Materiał uszorstniający oznakowanie powinien składać </w:t>
      </w:r>
      <w:r w:rsidR="00643511">
        <w:t>się z naturalnego lub sztucznego twardego kruszywa (np</w:t>
      </w:r>
      <w:r>
        <w:t>. krystobalitu), stosowanego w celu zapewnienia oznakowaniu odpowiedniej szorstkości (właściwości antypoślizgowych). Materiał uszorstniający nie może zawierać więcej niż 1% cząstek mniejszych niż 90 µm.. Konieczność</w:t>
      </w:r>
      <w:r>
        <w:rPr>
          <w:spacing w:val="-2"/>
        </w:rPr>
        <w:t xml:space="preserve"> </w:t>
      </w:r>
      <w:r>
        <w:t>jego</w:t>
      </w:r>
      <w:r>
        <w:rPr>
          <w:spacing w:val="-6"/>
        </w:rPr>
        <w:t xml:space="preserve"> </w:t>
      </w:r>
      <w:r>
        <w:t>użycia</w:t>
      </w:r>
      <w:r>
        <w:rPr>
          <w:spacing w:val="-6"/>
        </w:rPr>
        <w:t xml:space="preserve"> </w:t>
      </w:r>
      <w:r>
        <w:t>zachodzi</w:t>
      </w:r>
      <w:r>
        <w:rPr>
          <w:spacing w:val="-7"/>
        </w:rPr>
        <w:t xml:space="preserve"> </w:t>
      </w:r>
      <w:r>
        <w:t>w</w:t>
      </w:r>
      <w:r>
        <w:rPr>
          <w:spacing w:val="-3"/>
        </w:rPr>
        <w:t xml:space="preserve"> </w:t>
      </w:r>
      <w:r>
        <w:t>przypadku</w:t>
      </w:r>
      <w:r>
        <w:rPr>
          <w:spacing w:val="-4"/>
        </w:rPr>
        <w:t xml:space="preserve"> </w:t>
      </w:r>
      <w:r>
        <w:t>potrzeby</w:t>
      </w:r>
      <w:r>
        <w:rPr>
          <w:spacing w:val="-5"/>
        </w:rPr>
        <w:t xml:space="preserve"> </w:t>
      </w:r>
      <w:r>
        <w:t>uzyskania</w:t>
      </w:r>
      <w:r>
        <w:rPr>
          <w:spacing w:val="-5"/>
        </w:rPr>
        <w:t xml:space="preserve"> </w:t>
      </w:r>
      <w:r>
        <w:t>wskaźnika</w:t>
      </w:r>
      <w:r>
        <w:rPr>
          <w:spacing w:val="-6"/>
        </w:rPr>
        <w:t xml:space="preserve"> </w:t>
      </w:r>
      <w:r>
        <w:t>szorstkości</w:t>
      </w:r>
      <w:r>
        <w:rPr>
          <w:spacing w:val="-7"/>
        </w:rPr>
        <w:t xml:space="preserve"> </w:t>
      </w:r>
      <w:r>
        <w:t>oznakowania</w:t>
      </w:r>
      <w:r>
        <w:rPr>
          <w:spacing w:val="-4"/>
        </w:rPr>
        <w:t xml:space="preserve"> </w:t>
      </w:r>
      <w:r>
        <w:t>SRT</w:t>
      </w:r>
      <w:r>
        <w:rPr>
          <w:spacing w:val="-3"/>
        </w:rPr>
        <w:t xml:space="preserve"> </w:t>
      </w:r>
      <w:r>
        <w:t>≥</w:t>
      </w:r>
      <w:r>
        <w:rPr>
          <w:spacing w:val="-4"/>
        </w:rPr>
        <w:t xml:space="preserve"> </w:t>
      </w:r>
      <w:r>
        <w:t>50.</w:t>
      </w:r>
    </w:p>
    <w:p w:rsidR="00A52CC6" w:rsidRDefault="00643511" w:rsidP="001955B5">
      <w:pPr>
        <w:pStyle w:val="Tekstpodstawowy"/>
      </w:pPr>
      <w:r>
        <w:t>Materiał uszorstniający (kruszywo przeciwpoślizgowe) powinien odpowiadać wymaganiom określonym w</w:t>
      </w:r>
      <w:r w:rsidR="00277913">
        <w:t xml:space="preserve"> dokumentach</w:t>
      </w:r>
      <w:r w:rsidR="00277913">
        <w:rPr>
          <w:spacing w:val="-4"/>
        </w:rPr>
        <w:t xml:space="preserve"> </w:t>
      </w:r>
      <w:r w:rsidR="00277913">
        <w:t>dopuszczających.</w:t>
      </w:r>
    </w:p>
    <w:p w:rsidR="00A52CC6" w:rsidRDefault="00277913" w:rsidP="001955B5">
      <w:pPr>
        <w:pStyle w:val="Tekstpodstawowy"/>
      </w:pPr>
      <w:r>
        <w:t>W przedmiotowym zadaniu należy zastosować kruszywo przeciwpoślizgowe o uziarnieniu średnim.</w:t>
      </w:r>
    </w:p>
    <w:p w:rsidR="00A52CC6" w:rsidRDefault="00277913" w:rsidP="001955B5">
      <w:pPr>
        <w:pStyle w:val="Tekstpodstawowy"/>
      </w:pPr>
      <w:r>
        <w:t>Dopuszcza się zastosowanie mieszaniny mikrokulek szklanych i kruszywa przeciwpoślizgowego. W takim przypadku składniki</w:t>
      </w:r>
      <w:r>
        <w:rPr>
          <w:spacing w:val="-8"/>
        </w:rPr>
        <w:t xml:space="preserve"> </w:t>
      </w:r>
      <w:r>
        <w:t>mieszanki</w:t>
      </w:r>
      <w:r>
        <w:rPr>
          <w:spacing w:val="-4"/>
        </w:rPr>
        <w:t xml:space="preserve"> </w:t>
      </w:r>
      <w:r>
        <w:t>należy</w:t>
      </w:r>
      <w:r>
        <w:rPr>
          <w:spacing w:val="-5"/>
        </w:rPr>
        <w:t xml:space="preserve"> </w:t>
      </w:r>
      <w:r>
        <w:t>badać</w:t>
      </w:r>
      <w:r>
        <w:rPr>
          <w:spacing w:val="-6"/>
        </w:rPr>
        <w:t xml:space="preserve"> </w:t>
      </w:r>
      <w:r>
        <w:t>oddzielnie,</w:t>
      </w:r>
      <w:r>
        <w:rPr>
          <w:spacing w:val="-8"/>
        </w:rPr>
        <w:t xml:space="preserve"> </w:t>
      </w:r>
      <w:r>
        <w:t>przed</w:t>
      </w:r>
      <w:r>
        <w:rPr>
          <w:spacing w:val="-6"/>
        </w:rPr>
        <w:t xml:space="preserve"> </w:t>
      </w:r>
      <w:r>
        <w:t>ich</w:t>
      </w:r>
      <w:r>
        <w:rPr>
          <w:spacing w:val="-5"/>
        </w:rPr>
        <w:t xml:space="preserve"> </w:t>
      </w:r>
      <w:r>
        <w:t>zmieszaniem</w:t>
      </w:r>
      <w:r>
        <w:rPr>
          <w:spacing w:val="-6"/>
        </w:rPr>
        <w:t xml:space="preserve"> </w:t>
      </w:r>
      <w:r>
        <w:t>a</w:t>
      </w:r>
      <w:r>
        <w:rPr>
          <w:spacing w:val="-5"/>
        </w:rPr>
        <w:t xml:space="preserve"> </w:t>
      </w:r>
      <w:r>
        <w:t>ich</w:t>
      </w:r>
      <w:r>
        <w:rPr>
          <w:spacing w:val="-6"/>
        </w:rPr>
        <w:t xml:space="preserve"> </w:t>
      </w:r>
      <w:r>
        <w:t>właściwości</w:t>
      </w:r>
      <w:r>
        <w:rPr>
          <w:spacing w:val="-5"/>
        </w:rPr>
        <w:t xml:space="preserve"> </w:t>
      </w:r>
      <w:r>
        <w:t>powinny</w:t>
      </w:r>
      <w:r>
        <w:rPr>
          <w:spacing w:val="-5"/>
        </w:rPr>
        <w:t xml:space="preserve"> </w:t>
      </w:r>
      <w:r>
        <w:t>spełniać</w:t>
      </w:r>
      <w:r>
        <w:rPr>
          <w:spacing w:val="-6"/>
        </w:rPr>
        <w:t xml:space="preserve"> </w:t>
      </w:r>
      <w:r>
        <w:t>odpowiednie wymagania wg</w:t>
      </w:r>
      <w:r>
        <w:rPr>
          <w:spacing w:val="-1"/>
        </w:rPr>
        <w:t xml:space="preserve"> </w:t>
      </w:r>
      <w:r>
        <w:t>POD</w:t>
      </w:r>
      <w:r>
        <w:rPr>
          <w:spacing w:val="-2"/>
        </w:rPr>
        <w:t xml:space="preserve"> </w:t>
      </w:r>
      <w:r>
        <w:t>–</w:t>
      </w:r>
      <w:r>
        <w:rPr>
          <w:spacing w:val="-5"/>
        </w:rPr>
        <w:t xml:space="preserve"> </w:t>
      </w:r>
      <w:r>
        <w:t>97</w:t>
      </w:r>
      <w:r>
        <w:rPr>
          <w:spacing w:val="-2"/>
        </w:rPr>
        <w:t xml:space="preserve"> </w:t>
      </w:r>
      <w:r>
        <w:t>Warunki</w:t>
      </w:r>
      <w:r>
        <w:rPr>
          <w:spacing w:val="-4"/>
        </w:rPr>
        <w:t xml:space="preserve"> </w:t>
      </w:r>
      <w:r>
        <w:t>Techniczne.</w:t>
      </w:r>
      <w:r>
        <w:rPr>
          <w:spacing w:val="-4"/>
        </w:rPr>
        <w:t xml:space="preserve"> </w:t>
      </w:r>
      <w:r>
        <w:t>Poziome</w:t>
      </w:r>
      <w:r>
        <w:rPr>
          <w:spacing w:val="-1"/>
        </w:rPr>
        <w:t xml:space="preserve"> </w:t>
      </w:r>
      <w:r>
        <w:t>znakowanie</w:t>
      </w:r>
      <w:r>
        <w:rPr>
          <w:spacing w:val="-2"/>
        </w:rPr>
        <w:t xml:space="preserve"> </w:t>
      </w:r>
      <w:r>
        <w:t>dróg,</w:t>
      </w:r>
      <w:r>
        <w:rPr>
          <w:spacing w:val="-4"/>
        </w:rPr>
        <w:t xml:space="preserve"> </w:t>
      </w:r>
      <w:r>
        <w:t>Seria</w:t>
      </w:r>
      <w:r>
        <w:rPr>
          <w:spacing w:val="-3"/>
        </w:rPr>
        <w:t xml:space="preserve"> </w:t>
      </w:r>
      <w:r>
        <w:t>I,</w:t>
      </w:r>
      <w:r>
        <w:rPr>
          <w:spacing w:val="-2"/>
        </w:rPr>
        <w:t xml:space="preserve"> </w:t>
      </w:r>
      <w:r>
        <w:t>Zeszyt</w:t>
      </w:r>
      <w:r>
        <w:rPr>
          <w:spacing w:val="-6"/>
        </w:rPr>
        <w:t xml:space="preserve"> </w:t>
      </w:r>
      <w:r>
        <w:t>55,</w:t>
      </w:r>
      <w:r>
        <w:rPr>
          <w:spacing w:val="-2"/>
        </w:rPr>
        <w:t xml:space="preserve"> </w:t>
      </w:r>
      <w:r>
        <w:t>IBDiM,</w:t>
      </w:r>
      <w:r>
        <w:rPr>
          <w:spacing w:val="-2"/>
        </w:rPr>
        <w:t xml:space="preserve"> </w:t>
      </w:r>
      <w:r>
        <w:t>1997</w:t>
      </w:r>
      <w:r>
        <w:rPr>
          <w:spacing w:val="-1"/>
        </w:rPr>
        <w:t xml:space="preserve"> </w:t>
      </w:r>
      <w:r>
        <w:t>r..</w:t>
      </w:r>
    </w:p>
    <w:p w:rsidR="00A52CC6" w:rsidRDefault="00277913" w:rsidP="001955B5">
      <w:pPr>
        <w:pStyle w:val="Tekstpodstawowy"/>
      </w:pPr>
      <w:r>
        <w:t>Wybrane przez siebie rozwiązanie Wykonawca przedstawia do akceptacji Inwestorowi.</w:t>
      </w:r>
    </w:p>
    <w:p w:rsidR="00A52CC6" w:rsidRPr="00B20401" w:rsidRDefault="00277913" w:rsidP="00EA0247">
      <w:pPr>
        <w:pStyle w:val="Nagwek1"/>
        <w:numPr>
          <w:ilvl w:val="2"/>
          <w:numId w:val="24"/>
        </w:numPr>
        <w:spacing w:before="120" w:after="120"/>
        <w:ind w:left="0" w:firstLine="0"/>
        <w:rPr>
          <w:sz w:val="20"/>
        </w:rPr>
      </w:pPr>
      <w:r w:rsidRPr="00B20401">
        <w:rPr>
          <w:sz w:val="20"/>
        </w:rPr>
        <w:t>Wymagania wobec materiałów ze względu na ochronę warunków pracy i środowiska</w:t>
      </w:r>
    </w:p>
    <w:p w:rsidR="00A52CC6" w:rsidRDefault="00643511" w:rsidP="001955B5">
      <w:pPr>
        <w:pStyle w:val="Tekstpodstawowy"/>
      </w:pPr>
      <w:r>
        <w:t>Materiały stosowane do znakowania nawierzchni nie powinny</w:t>
      </w:r>
      <w:r w:rsidR="00277913">
        <w:t xml:space="preserve"> zawierać </w:t>
      </w:r>
      <w:r>
        <w:t>substancji zagrażających zdrowiu ludzi</w:t>
      </w:r>
      <w:r w:rsidR="00277913">
        <w:t xml:space="preserve"> i powodujących skażenie</w:t>
      </w:r>
      <w:r w:rsidR="00277913">
        <w:rPr>
          <w:spacing w:val="-2"/>
        </w:rPr>
        <w:t xml:space="preserve"> </w:t>
      </w:r>
      <w:r w:rsidR="00277913">
        <w:t>środowiska.</w:t>
      </w:r>
    </w:p>
    <w:p w:rsidR="00A52CC6" w:rsidRPr="00B20401" w:rsidRDefault="00277913" w:rsidP="00EA0247">
      <w:pPr>
        <w:pStyle w:val="Nagwek1"/>
        <w:numPr>
          <w:ilvl w:val="1"/>
          <w:numId w:val="24"/>
        </w:numPr>
        <w:spacing w:before="120" w:after="120"/>
        <w:ind w:left="0" w:firstLine="0"/>
        <w:rPr>
          <w:sz w:val="20"/>
        </w:rPr>
      </w:pPr>
      <w:r w:rsidRPr="00B20401">
        <w:rPr>
          <w:sz w:val="20"/>
        </w:rPr>
        <w:t>Przechowywanie i składowanie materiałów</w:t>
      </w:r>
    </w:p>
    <w:p w:rsidR="00A52CC6" w:rsidRDefault="00277913" w:rsidP="001955B5">
      <w:pPr>
        <w:pStyle w:val="Tekstpodstawowy"/>
      </w:pPr>
      <w:r>
        <w:t>Materiały do oznakowania grubowarstwowego nawierzchni powinny zachować stałość swoich właściwości chemicznych i fizykochemicznych przez okres co najmniej 6 miesięcy składowania w warunkach określonych przez producenta.</w:t>
      </w:r>
    </w:p>
    <w:p w:rsidR="00A52CC6" w:rsidRDefault="00277913" w:rsidP="001955B5">
      <w:pPr>
        <w:pStyle w:val="Tekstpodstawowy"/>
      </w:pPr>
      <w:r>
        <w:t>Materiały do poziomego oznakowania dróg należy przechowywać w magazynach odpowiadających zaleceniom producenta, zwłaszcza zabezpieczających je od napromieniowania słonecznego, opadów i w temperaturze, dla:</w:t>
      </w:r>
    </w:p>
    <w:p w:rsidR="00A52CC6" w:rsidRDefault="00277913" w:rsidP="001955B5">
      <w:pPr>
        <w:pStyle w:val="Tekstpodstawowy"/>
      </w:pPr>
      <w:r>
        <w:t>farb wodorozcieńczalnych od 5</w:t>
      </w:r>
      <w:r>
        <w:rPr>
          <w:position w:val="5"/>
        </w:rPr>
        <w:t>o</w:t>
      </w:r>
      <w:r>
        <w:t>C do</w:t>
      </w:r>
      <w:r>
        <w:rPr>
          <w:spacing w:val="-28"/>
        </w:rPr>
        <w:t xml:space="preserve"> </w:t>
      </w:r>
      <w:r>
        <w:t>40</w:t>
      </w:r>
      <w:r>
        <w:rPr>
          <w:position w:val="5"/>
        </w:rPr>
        <w:t>o</w:t>
      </w:r>
      <w:r>
        <w:t>C,</w:t>
      </w:r>
    </w:p>
    <w:p w:rsidR="00A52CC6" w:rsidRDefault="00277913" w:rsidP="001955B5">
      <w:pPr>
        <w:pStyle w:val="Tekstpodstawowy"/>
      </w:pPr>
      <w:r>
        <w:t>farb rozpuszczalnikowych od -5</w:t>
      </w:r>
      <w:r>
        <w:rPr>
          <w:position w:val="5"/>
        </w:rPr>
        <w:t>o</w:t>
      </w:r>
      <w:r>
        <w:t>C do</w:t>
      </w:r>
      <w:r>
        <w:rPr>
          <w:spacing w:val="-27"/>
        </w:rPr>
        <w:t xml:space="preserve"> </w:t>
      </w:r>
      <w:r>
        <w:t>25</w:t>
      </w:r>
      <w:r>
        <w:rPr>
          <w:position w:val="5"/>
        </w:rPr>
        <w:t>o</w:t>
      </w:r>
      <w:r>
        <w:t>C,</w:t>
      </w:r>
    </w:p>
    <w:p w:rsidR="00A52CC6" w:rsidRDefault="00277913" w:rsidP="001955B5">
      <w:pPr>
        <w:pStyle w:val="Tekstpodstawowy"/>
      </w:pPr>
      <w:r>
        <w:lastRenderedPageBreak/>
        <w:t>pozostałych materiałów - poniżej</w:t>
      </w:r>
      <w:r>
        <w:rPr>
          <w:spacing w:val="-4"/>
        </w:rPr>
        <w:t xml:space="preserve"> </w:t>
      </w:r>
      <w:r>
        <w:t>40</w:t>
      </w:r>
      <w:r>
        <w:rPr>
          <w:position w:val="5"/>
        </w:rPr>
        <w:t>o</w:t>
      </w:r>
      <w:r>
        <w:t>C.</w:t>
      </w:r>
    </w:p>
    <w:p w:rsidR="00A52CC6" w:rsidRPr="00B20401" w:rsidRDefault="00277913" w:rsidP="00EA0247">
      <w:pPr>
        <w:pStyle w:val="Nagwek1"/>
        <w:numPr>
          <w:ilvl w:val="0"/>
          <w:numId w:val="24"/>
        </w:numPr>
        <w:spacing w:before="120" w:after="120"/>
        <w:ind w:left="0" w:firstLine="0"/>
        <w:rPr>
          <w:sz w:val="20"/>
        </w:rPr>
      </w:pPr>
      <w:r w:rsidRPr="00B20401">
        <w:rPr>
          <w:sz w:val="20"/>
        </w:rPr>
        <w:t>SPRZĘT</w:t>
      </w:r>
    </w:p>
    <w:p w:rsidR="00A52CC6" w:rsidRPr="00B20401" w:rsidRDefault="00277913" w:rsidP="00EA0247">
      <w:pPr>
        <w:pStyle w:val="Nagwek1"/>
        <w:numPr>
          <w:ilvl w:val="1"/>
          <w:numId w:val="24"/>
        </w:numPr>
        <w:spacing w:before="120" w:after="120"/>
        <w:ind w:left="0" w:firstLine="0"/>
        <w:rPr>
          <w:sz w:val="20"/>
        </w:rPr>
      </w:pPr>
      <w:r w:rsidRPr="00B20401">
        <w:rPr>
          <w:sz w:val="20"/>
        </w:rPr>
        <w:t>Ogólne wymagania dotyczące sprzętu</w:t>
      </w:r>
    </w:p>
    <w:p w:rsidR="00A52CC6" w:rsidRDefault="00277913" w:rsidP="001955B5">
      <w:pPr>
        <w:pStyle w:val="Tekstpodstawowy"/>
      </w:pPr>
      <w:r>
        <w:t>Ogólne wymagania dotyczące sprzętu podano w STWiORB DM.00.00.00 „Wymagania ogólne” p.3.</w:t>
      </w:r>
    </w:p>
    <w:p w:rsidR="00A52CC6" w:rsidRDefault="00277913" w:rsidP="001955B5">
      <w:pPr>
        <w:pStyle w:val="Tekstpodstawowy"/>
      </w:pPr>
      <w:r>
        <w:t>Ponadto używany sprzęt powinien być zgodny z ofertą Wykonawcy i PZJ oraz uzyskać akceptację Inwestora.</w:t>
      </w:r>
    </w:p>
    <w:p w:rsidR="00A52CC6" w:rsidRPr="00B20401" w:rsidRDefault="00277913" w:rsidP="00EA0247">
      <w:pPr>
        <w:pStyle w:val="Nagwek1"/>
        <w:numPr>
          <w:ilvl w:val="1"/>
          <w:numId w:val="24"/>
        </w:numPr>
        <w:spacing w:before="120" w:after="120"/>
        <w:ind w:left="0" w:firstLine="0"/>
        <w:rPr>
          <w:sz w:val="20"/>
        </w:rPr>
      </w:pPr>
      <w:r w:rsidRPr="00B20401">
        <w:rPr>
          <w:sz w:val="20"/>
        </w:rPr>
        <w:t>Sprzęt do wykonywania oznakowania poziomego</w:t>
      </w:r>
    </w:p>
    <w:p w:rsidR="00A52CC6" w:rsidRDefault="00277913" w:rsidP="001955B5">
      <w:pPr>
        <w:pStyle w:val="Tekstpodstawowy"/>
      </w:pPr>
      <w:r>
        <w:t>Wykonawca przystępujący do wykonania oznakowania poziomego, w zależności od zakresu robót, powinien wykazać się możliwością korzystania z następującego sprzętu, zaakceptowanego przez Inwestora:</w:t>
      </w:r>
    </w:p>
    <w:p w:rsidR="00A52CC6" w:rsidRDefault="00277913" w:rsidP="001955B5">
      <w:pPr>
        <w:pStyle w:val="Tekstpodstawowy"/>
      </w:pPr>
      <w:r>
        <w:t>szczotek mechanicznych (zaleca się stosowanie szczotek wyposażonych w urządzenia odpylające) oraz szczotek</w:t>
      </w:r>
      <w:r>
        <w:rPr>
          <w:spacing w:val="2"/>
        </w:rPr>
        <w:t xml:space="preserve"> </w:t>
      </w:r>
      <w:r>
        <w:t>ręcznych,</w:t>
      </w:r>
    </w:p>
    <w:p w:rsidR="00A52CC6" w:rsidRDefault="00277913" w:rsidP="001955B5">
      <w:pPr>
        <w:pStyle w:val="Tekstpodstawowy"/>
      </w:pPr>
      <w:r>
        <w:t>frezarek,</w:t>
      </w:r>
    </w:p>
    <w:p w:rsidR="00A52CC6" w:rsidRDefault="00277913" w:rsidP="001955B5">
      <w:pPr>
        <w:pStyle w:val="Tekstpodstawowy"/>
      </w:pPr>
      <w:r>
        <w:t>sprężarek,</w:t>
      </w:r>
    </w:p>
    <w:p w:rsidR="00A52CC6" w:rsidRDefault="00277913" w:rsidP="001955B5">
      <w:pPr>
        <w:pStyle w:val="Tekstpodstawowy"/>
      </w:pPr>
      <w:r>
        <w:t>malowarek,</w:t>
      </w:r>
    </w:p>
    <w:p w:rsidR="00A52CC6" w:rsidRDefault="00277913" w:rsidP="001955B5">
      <w:pPr>
        <w:pStyle w:val="Tekstpodstawowy"/>
      </w:pPr>
      <w:r>
        <w:t>układarek mas</w:t>
      </w:r>
      <w:r>
        <w:rPr>
          <w:spacing w:val="-4"/>
        </w:rPr>
        <w:t xml:space="preserve"> </w:t>
      </w:r>
      <w:r>
        <w:t>termoplastycznych,</w:t>
      </w:r>
    </w:p>
    <w:p w:rsidR="00A52CC6" w:rsidRDefault="00277913" w:rsidP="001955B5">
      <w:pPr>
        <w:pStyle w:val="Tekstpodstawowy"/>
      </w:pPr>
      <w:r>
        <w:t>sprzętu</w:t>
      </w:r>
      <w:r>
        <w:rPr>
          <w:spacing w:val="1"/>
        </w:rPr>
        <w:t xml:space="preserve"> </w:t>
      </w:r>
      <w:r>
        <w:t>ręcznego,</w:t>
      </w:r>
    </w:p>
    <w:p w:rsidR="00A52CC6" w:rsidRDefault="00277913" w:rsidP="001955B5">
      <w:pPr>
        <w:pStyle w:val="Tekstpodstawowy"/>
      </w:pPr>
      <w:r>
        <w:t>sprzętu do badań, określonego w</w:t>
      </w:r>
      <w:r>
        <w:rPr>
          <w:spacing w:val="-4"/>
        </w:rPr>
        <w:t xml:space="preserve"> </w:t>
      </w:r>
      <w:r>
        <w:t>ST.</w:t>
      </w:r>
    </w:p>
    <w:p w:rsidR="00A52CC6" w:rsidRDefault="00277913" w:rsidP="001955B5">
      <w:pPr>
        <w:pStyle w:val="Tekstpodstawowy"/>
      </w:pPr>
      <w:r>
        <w:t>Wykonawca powinien zapewnić odpowiednią jakość, ilość i wydajność malowarek lub układarek proporcjonalną do wielkości i czasu wykonania całego zakresu robót.</w:t>
      </w:r>
    </w:p>
    <w:p w:rsidR="00A52CC6" w:rsidRPr="00B20401" w:rsidRDefault="00277913" w:rsidP="00EA0247">
      <w:pPr>
        <w:pStyle w:val="Nagwek1"/>
        <w:numPr>
          <w:ilvl w:val="0"/>
          <w:numId w:val="24"/>
        </w:numPr>
        <w:spacing w:before="120" w:after="120"/>
        <w:ind w:left="0" w:firstLine="0"/>
        <w:rPr>
          <w:sz w:val="20"/>
        </w:rPr>
      </w:pPr>
      <w:r w:rsidRPr="00B20401">
        <w:rPr>
          <w:sz w:val="20"/>
        </w:rPr>
        <w:t>TRANSPORT</w:t>
      </w:r>
    </w:p>
    <w:p w:rsidR="00A52CC6" w:rsidRPr="00B20401" w:rsidRDefault="00277913" w:rsidP="00EA0247">
      <w:pPr>
        <w:pStyle w:val="Nagwek1"/>
        <w:numPr>
          <w:ilvl w:val="1"/>
          <w:numId w:val="24"/>
        </w:numPr>
        <w:spacing w:before="120" w:after="120"/>
        <w:ind w:left="0" w:firstLine="0"/>
        <w:rPr>
          <w:sz w:val="20"/>
        </w:rPr>
      </w:pPr>
      <w:r w:rsidRPr="00B20401">
        <w:rPr>
          <w:sz w:val="20"/>
        </w:rPr>
        <w:t>Ogólne wymagania dotyczące transportu</w:t>
      </w:r>
    </w:p>
    <w:p w:rsidR="00A52CC6" w:rsidRDefault="00277913" w:rsidP="001955B5">
      <w:pPr>
        <w:pStyle w:val="Tekstpodstawowy"/>
      </w:pPr>
      <w:r>
        <w:t>Ogólne wymagania dotyczące transportu podano w STWiORB DM.00.00.00 „Wymagania ogólne” p.4.</w:t>
      </w:r>
    </w:p>
    <w:p w:rsidR="00A52CC6" w:rsidRPr="00B20401" w:rsidRDefault="00277913" w:rsidP="00EA0247">
      <w:pPr>
        <w:pStyle w:val="Nagwek1"/>
        <w:numPr>
          <w:ilvl w:val="1"/>
          <w:numId w:val="24"/>
        </w:numPr>
        <w:spacing w:before="120" w:after="120"/>
        <w:ind w:left="0" w:firstLine="0"/>
        <w:rPr>
          <w:sz w:val="20"/>
        </w:rPr>
      </w:pPr>
      <w:r w:rsidRPr="00B20401">
        <w:rPr>
          <w:sz w:val="20"/>
        </w:rPr>
        <w:t>Przewóz materiałów do poziomego znakowania dróg</w:t>
      </w:r>
    </w:p>
    <w:p w:rsidR="00A52CC6" w:rsidRDefault="00277913" w:rsidP="001955B5">
      <w:pPr>
        <w:pStyle w:val="Tekstpodstawowy"/>
      </w:pPr>
      <w:r>
        <w:t>Materiały do poziomego znakowania dróg należy przewozić w opakowaniach zapewniających szczelność, bezpieczny transport i zachowanie wymaganych właściwości materiałów. Pojemniki powinny być oznakowane zgodnie z PN-EN ISO 780:2016-03 Opakowania - Opakowania transportowe - Symbole graficzne stosowane na</w:t>
      </w:r>
      <w:r w:rsidR="005F02F7">
        <w:t xml:space="preserve"> </w:t>
      </w:r>
      <w:r>
        <w:t>opakowaniach, przy ich przemieszczaniu i magazynowaniu. Wymagania podstawowe. W przypadku materiałów niebezpiecznych opakowania powinny być oznakowane zgodnie z Dz. U. nr 73, poz. 1679.</w:t>
      </w:r>
    </w:p>
    <w:p w:rsidR="00A52CC6" w:rsidRDefault="00277913" w:rsidP="001955B5">
      <w:pPr>
        <w:pStyle w:val="Tekstpodstawowy"/>
      </w:pPr>
      <w:r>
        <w:t>Materiały do poziomego znakowania dróg należy transportować zgodnie z postanowieniami umowy międzynarodowej</w:t>
      </w:r>
      <w:r>
        <w:rPr>
          <w:spacing w:val="-6"/>
        </w:rPr>
        <w:t xml:space="preserve"> </w:t>
      </w:r>
      <w:r>
        <w:t>dla</w:t>
      </w:r>
      <w:r>
        <w:rPr>
          <w:spacing w:val="-5"/>
        </w:rPr>
        <w:t xml:space="preserve"> </w:t>
      </w:r>
      <w:r>
        <w:t>transportu</w:t>
      </w:r>
      <w:r>
        <w:rPr>
          <w:spacing w:val="-3"/>
        </w:rPr>
        <w:t xml:space="preserve"> </w:t>
      </w:r>
      <w:r>
        <w:t>drogowego</w:t>
      </w:r>
      <w:r>
        <w:rPr>
          <w:spacing w:val="-2"/>
        </w:rPr>
        <w:t xml:space="preserve"> </w:t>
      </w:r>
      <w:r>
        <w:t>materiałów</w:t>
      </w:r>
      <w:r>
        <w:rPr>
          <w:spacing w:val="-3"/>
        </w:rPr>
        <w:t xml:space="preserve"> </w:t>
      </w:r>
      <w:r>
        <w:t>palnych,</w:t>
      </w:r>
      <w:r>
        <w:rPr>
          <w:spacing w:val="-6"/>
        </w:rPr>
        <w:t xml:space="preserve"> </w:t>
      </w:r>
      <w:r>
        <w:t>klasy</w:t>
      </w:r>
      <w:r>
        <w:rPr>
          <w:spacing w:val="-2"/>
        </w:rPr>
        <w:t xml:space="preserve"> </w:t>
      </w:r>
      <w:r>
        <w:t>3,</w:t>
      </w:r>
      <w:r>
        <w:rPr>
          <w:spacing w:val="-4"/>
        </w:rPr>
        <w:t xml:space="preserve"> </w:t>
      </w:r>
      <w:r>
        <w:t>oraz</w:t>
      </w:r>
      <w:r>
        <w:rPr>
          <w:spacing w:val="-2"/>
        </w:rPr>
        <w:t xml:space="preserve"> </w:t>
      </w:r>
      <w:r>
        <w:t>szczegółowymi</w:t>
      </w:r>
      <w:r>
        <w:rPr>
          <w:spacing w:val="-5"/>
        </w:rPr>
        <w:t xml:space="preserve"> </w:t>
      </w:r>
      <w:r>
        <w:t>zaleceniami</w:t>
      </w:r>
      <w:r>
        <w:rPr>
          <w:spacing w:val="-3"/>
        </w:rPr>
        <w:t xml:space="preserve"> </w:t>
      </w:r>
      <w:r>
        <w:t xml:space="preserve">zawartymi w karcie charakterystyki wyrobu sporządzonej przez producenta. Wyroby, wyżej wymienione, </w:t>
      </w:r>
      <w:r w:rsidR="00643511">
        <w:t>nieposiadające</w:t>
      </w:r>
      <w:r>
        <w:t xml:space="preserve"> karty charakterystyki nie powinny być dopuszczone do</w:t>
      </w:r>
      <w:r>
        <w:rPr>
          <w:spacing w:val="-5"/>
        </w:rPr>
        <w:t xml:space="preserve"> </w:t>
      </w:r>
      <w:r>
        <w:t>transportu.</w:t>
      </w:r>
    </w:p>
    <w:p w:rsidR="00A52CC6" w:rsidRDefault="00277913" w:rsidP="001955B5">
      <w:pPr>
        <w:pStyle w:val="Tekstpodstawowy"/>
      </w:pPr>
      <w:r>
        <w:t xml:space="preserve">Materiały do znakowania poziomego należy przewozić krytymi środkami transportowymi, chroniąc opakowania przed </w:t>
      </w:r>
      <w:r w:rsidR="00643511">
        <w:t>uszkodzeniem mechanicznym, zgodnie z PN-C-81400:1989 Wyroby lakierowe</w:t>
      </w:r>
      <w:r>
        <w:t xml:space="preserve">.   </w:t>
      </w:r>
      <w:r w:rsidR="00643511">
        <w:t>Pakowanie, przechowywanie i</w:t>
      </w:r>
      <w:r>
        <w:rPr>
          <w:spacing w:val="-2"/>
        </w:rPr>
        <w:t xml:space="preserve"> </w:t>
      </w:r>
      <w:r>
        <w:t>transport.</w:t>
      </w:r>
    </w:p>
    <w:p w:rsidR="00A52CC6" w:rsidRPr="00B20401" w:rsidRDefault="00277913" w:rsidP="00EA0247">
      <w:pPr>
        <w:pStyle w:val="Nagwek1"/>
        <w:numPr>
          <w:ilvl w:val="0"/>
          <w:numId w:val="24"/>
        </w:numPr>
        <w:spacing w:before="120" w:after="120"/>
        <w:ind w:left="0" w:firstLine="0"/>
        <w:rPr>
          <w:sz w:val="20"/>
        </w:rPr>
      </w:pPr>
      <w:r w:rsidRPr="00B20401">
        <w:rPr>
          <w:sz w:val="20"/>
        </w:rPr>
        <w:t>WYKONANIE ROBÓT</w:t>
      </w:r>
    </w:p>
    <w:p w:rsidR="00A52CC6" w:rsidRPr="00B20401" w:rsidRDefault="00277913" w:rsidP="00EA0247">
      <w:pPr>
        <w:pStyle w:val="Nagwek1"/>
        <w:numPr>
          <w:ilvl w:val="1"/>
          <w:numId w:val="24"/>
        </w:numPr>
        <w:spacing w:before="120" w:after="120"/>
        <w:ind w:left="0" w:firstLine="0"/>
        <w:rPr>
          <w:sz w:val="20"/>
        </w:rPr>
      </w:pPr>
      <w:r w:rsidRPr="00B20401">
        <w:rPr>
          <w:sz w:val="20"/>
        </w:rPr>
        <w:t>Ogólne zasady wykonania Robót</w:t>
      </w:r>
    </w:p>
    <w:p w:rsidR="00A52CC6" w:rsidRDefault="00277913" w:rsidP="001955B5">
      <w:pPr>
        <w:pStyle w:val="Tekstpodstawowy"/>
      </w:pPr>
      <w:r>
        <w:t>Ogólne zasady wykonania Robót podano w STWiORB DM.00.00.00. „Wymagania ogólne” p.5.</w:t>
      </w:r>
    </w:p>
    <w:p w:rsidR="00A52CC6" w:rsidRDefault="00643511" w:rsidP="001955B5">
      <w:pPr>
        <w:pStyle w:val="Tekstpodstawowy"/>
      </w:pPr>
      <w:r>
        <w:t>Nowe i odnowione nawierzchnie dróg przed otwarciem do ruchu muszą być oznakowane zgodnie z PFU i</w:t>
      </w:r>
      <w:r w:rsidR="00277913">
        <w:t xml:space="preserve"> Dokumentami</w:t>
      </w:r>
      <w:r w:rsidR="00277913">
        <w:rPr>
          <w:spacing w:val="-3"/>
        </w:rPr>
        <w:t xml:space="preserve"> </w:t>
      </w:r>
      <w:r w:rsidR="00277913">
        <w:t>Wykonawcy.</w:t>
      </w:r>
    </w:p>
    <w:p w:rsidR="00A52CC6" w:rsidRPr="00B20401" w:rsidRDefault="00277913" w:rsidP="00EA0247">
      <w:pPr>
        <w:pStyle w:val="Nagwek1"/>
        <w:numPr>
          <w:ilvl w:val="1"/>
          <w:numId w:val="24"/>
        </w:numPr>
        <w:spacing w:before="120" w:after="120"/>
        <w:ind w:left="0" w:firstLine="0"/>
        <w:rPr>
          <w:sz w:val="20"/>
        </w:rPr>
      </w:pPr>
      <w:r w:rsidRPr="00B20401">
        <w:rPr>
          <w:sz w:val="20"/>
        </w:rPr>
        <w:t>Warunki atmosferyczne</w:t>
      </w:r>
    </w:p>
    <w:p w:rsidR="00A52CC6" w:rsidRDefault="00277913" w:rsidP="001955B5">
      <w:pPr>
        <w:pStyle w:val="Tekstpodstawowy"/>
      </w:pPr>
      <w:r>
        <w:t xml:space="preserve">W czasie </w:t>
      </w:r>
      <w:r w:rsidR="00643511">
        <w:t>wykonywania oznakowania temperatura nawierzchni i</w:t>
      </w:r>
      <w:r>
        <w:t xml:space="preserve"> powietrza powinna </w:t>
      </w:r>
      <w:r w:rsidR="00643511">
        <w:t>wynosić co najmniej +10oC</w:t>
      </w:r>
      <w:r>
        <w:t>, a</w:t>
      </w:r>
      <w:r>
        <w:rPr>
          <w:spacing w:val="-3"/>
        </w:rPr>
        <w:t xml:space="preserve"> </w:t>
      </w:r>
      <w:r>
        <w:t>wilgotność</w:t>
      </w:r>
      <w:r>
        <w:rPr>
          <w:spacing w:val="-3"/>
        </w:rPr>
        <w:t xml:space="preserve"> </w:t>
      </w:r>
      <w:r>
        <w:t>względna</w:t>
      </w:r>
      <w:r>
        <w:rPr>
          <w:spacing w:val="-3"/>
        </w:rPr>
        <w:t xml:space="preserve"> </w:t>
      </w:r>
      <w:r>
        <w:t>powietrza</w:t>
      </w:r>
      <w:r>
        <w:rPr>
          <w:spacing w:val="-3"/>
        </w:rPr>
        <w:t xml:space="preserve"> </w:t>
      </w:r>
      <w:r>
        <w:t>powinna</w:t>
      </w:r>
      <w:r>
        <w:rPr>
          <w:spacing w:val="-2"/>
        </w:rPr>
        <w:t xml:space="preserve"> </w:t>
      </w:r>
      <w:r>
        <w:t>być</w:t>
      </w:r>
      <w:r>
        <w:rPr>
          <w:spacing w:val="-3"/>
        </w:rPr>
        <w:t xml:space="preserve"> </w:t>
      </w:r>
      <w:r>
        <w:t>zgodna</w:t>
      </w:r>
      <w:r>
        <w:rPr>
          <w:spacing w:val="-3"/>
        </w:rPr>
        <w:t xml:space="preserve"> </w:t>
      </w:r>
      <w:r>
        <w:t>z</w:t>
      </w:r>
      <w:r>
        <w:rPr>
          <w:spacing w:val="-2"/>
        </w:rPr>
        <w:t xml:space="preserve"> </w:t>
      </w:r>
      <w:r>
        <w:t>zaleceniami</w:t>
      </w:r>
      <w:r>
        <w:rPr>
          <w:spacing w:val="-4"/>
        </w:rPr>
        <w:t xml:space="preserve"> </w:t>
      </w:r>
      <w:r>
        <w:t>producenta</w:t>
      </w:r>
      <w:r>
        <w:rPr>
          <w:spacing w:val="-7"/>
        </w:rPr>
        <w:t xml:space="preserve"> </w:t>
      </w:r>
      <w:r>
        <w:t>lub</w:t>
      </w:r>
      <w:r>
        <w:rPr>
          <w:spacing w:val="-6"/>
        </w:rPr>
        <w:t xml:space="preserve"> </w:t>
      </w:r>
      <w:r>
        <w:t>wynosić</w:t>
      </w:r>
      <w:r>
        <w:rPr>
          <w:spacing w:val="-2"/>
        </w:rPr>
        <w:t xml:space="preserve"> </w:t>
      </w:r>
      <w:r>
        <w:t>co</w:t>
      </w:r>
      <w:r>
        <w:rPr>
          <w:spacing w:val="-1"/>
        </w:rPr>
        <w:t xml:space="preserve"> </w:t>
      </w:r>
      <w:r>
        <w:t>najwyżej</w:t>
      </w:r>
      <w:r>
        <w:rPr>
          <w:spacing w:val="-4"/>
        </w:rPr>
        <w:t xml:space="preserve"> </w:t>
      </w:r>
      <w:r>
        <w:t>85%.</w:t>
      </w:r>
    </w:p>
    <w:p w:rsidR="00A52CC6" w:rsidRPr="00B20401" w:rsidRDefault="00277913" w:rsidP="00EA0247">
      <w:pPr>
        <w:pStyle w:val="Nagwek1"/>
        <w:numPr>
          <w:ilvl w:val="1"/>
          <w:numId w:val="24"/>
        </w:numPr>
        <w:spacing w:before="120" w:after="120"/>
        <w:ind w:left="0" w:firstLine="0"/>
        <w:rPr>
          <w:sz w:val="20"/>
        </w:rPr>
      </w:pPr>
      <w:r w:rsidRPr="00B20401">
        <w:rPr>
          <w:sz w:val="20"/>
        </w:rPr>
        <w:t>Przygotowanie podłoża do wykonania znakowania</w:t>
      </w:r>
    </w:p>
    <w:p w:rsidR="00A52CC6" w:rsidRDefault="00277913" w:rsidP="001955B5">
      <w:pPr>
        <w:pStyle w:val="Tekstpodstawowy"/>
      </w:pPr>
      <w:r>
        <w:t xml:space="preserve">Przed wykonaniem znakowania poziomego należy oczyścić powierzchnię nawierzchni malowanej z pyłu, kurzu, </w:t>
      </w:r>
      <w:r w:rsidR="00643511">
        <w:t>piasku, smarów, olejów i innych zanieczyszczeń, przy użyciu sprzętu wymienionego w STWiORB lub PZJ i</w:t>
      </w:r>
      <w:r>
        <w:t xml:space="preserve"> zaakceptowanego przez Inwestora. Powierzchnia nawierzchni przygotowana do wykonania oznakowania poziomego musi być czysta i sucha. Przed przystąpieniem do robot, Wykonawca powinien ocenić, czy należy, i jaki należy, zastosować podkład pod układaną</w:t>
      </w:r>
      <w:r>
        <w:rPr>
          <w:spacing w:val="-9"/>
        </w:rPr>
        <w:t xml:space="preserve"> </w:t>
      </w:r>
      <w:r>
        <w:t>masę.</w:t>
      </w:r>
    </w:p>
    <w:p w:rsidR="00A52CC6" w:rsidRPr="00B20401" w:rsidRDefault="00277913" w:rsidP="00EA0247">
      <w:pPr>
        <w:pStyle w:val="Nagwek1"/>
        <w:numPr>
          <w:ilvl w:val="1"/>
          <w:numId w:val="24"/>
        </w:numPr>
        <w:spacing w:before="120" w:after="120"/>
        <w:ind w:left="0" w:firstLine="0"/>
        <w:rPr>
          <w:sz w:val="20"/>
        </w:rPr>
      </w:pPr>
      <w:r w:rsidRPr="00B20401">
        <w:rPr>
          <w:sz w:val="20"/>
        </w:rPr>
        <w:t>Jednorodność nawierzchni znakowanej</w:t>
      </w:r>
    </w:p>
    <w:p w:rsidR="00A52CC6" w:rsidRDefault="00277913" w:rsidP="001955B5">
      <w:pPr>
        <w:pStyle w:val="Tekstpodstawowy"/>
      </w:pPr>
      <w:r>
        <w:lastRenderedPageBreak/>
        <w:t>Poprawność wykonania znakowania wymaga jednorodności nawierzchni znakowanej. Nierównomierności i albo miejsca łatania nawierzchni, które nie wyróżniają się od starej nawierzchni i nie mają większego rozmiaru niż 15% powierzchni znakowanej, uznaje się za powierzchnie jednorodne.</w:t>
      </w:r>
    </w:p>
    <w:p w:rsidR="00A52CC6" w:rsidRPr="00B20401" w:rsidRDefault="00277913" w:rsidP="00EA0247">
      <w:pPr>
        <w:pStyle w:val="Nagwek1"/>
        <w:numPr>
          <w:ilvl w:val="1"/>
          <w:numId w:val="24"/>
        </w:numPr>
        <w:spacing w:before="120" w:after="120"/>
        <w:ind w:left="0" w:firstLine="0"/>
        <w:rPr>
          <w:sz w:val="20"/>
        </w:rPr>
      </w:pPr>
      <w:r w:rsidRPr="00B20401">
        <w:rPr>
          <w:sz w:val="20"/>
        </w:rPr>
        <w:t>Przedznakowanie</w:t>
      </w:r>
    </w:p>
    <w:p w:rsidR="00A52CC6" w:rsidRDefault="00277913" w:rsidP="001955B5">
      <w:pPr>
        <w:pStyle w:val="Tekstpodstawowy"/>
      </w:pPr>
      <w:r>
        <w:t>W celu dokładnego wykonania poziomego oznakowania drogi, można wykonać przedznakowanie, stosując się do ustaleń zawartych w PFU i Dokumentach Wykonawcy oraz poleceniach Inwestora.</w:t>
      </w:r>
    </w:p>
    <w:p w:rsidR="00A52CC6" w:rsidRDefault="00277913" w:rsidP="001955B5">
      <w:pPr>
        <w:pStyle w:val="Tekstpodstawowy"/>
      </w:pPr>
      <w:r>
        <w:t>Do wykonania przedznakowania można stosować nietrwałą farbę, np. farbę silnie rozcieńczoną rozpuszczalnikiem. Zaleca się wykonywanie przedznakowania w postaci kropek. Początek i koniec znakowania należy zaznaczyć małą kreską poprzeczną.</w:t>
      </w:r>
    </w:p>
    <w:p w:rsidR="00A52CC6" w:rsidRPr="00B20401" w:rsidRDefault="00277913" w:rsidP="00EA0247">
      <w:pPr>
        <w:pStyle w:val="Nagwek1"/>
        <w:numPr>
          <w:ilvl w:val="1"/>
          <w:numId w:val="24"/>
        </w:numPr>
        <w:spacing w:before="120" w:after="120"/>
        <w:ind w:left="0" w:firstLine="0"/>
        <w:rPr>
          <w:sz w:val="20"/>
        </w:rPr>
      </w:pPr>
      <w:r w:rsidRPr="00B20401">
        <w:rPr>
          <w:sz w:val="20"/>
        </w:rPr>
        <w:t>Odcinek próbny</w:t>
      </w:r>
    </w:p>
    <w:p w:rsidR="00A52CC6" w:rsidRDefault="00277913" w:rsidP="001955B5">
      <w:pPr>
        <w:pStyle w:val="Tekstpodstawowy"/>
      </w:pPr>
      <w:r>
        <w:t>Przed przystąpieniem do robót Wykonawca powinien wykonać odcinek próbny w miejscu określonym przez Inwestora. Długość odcinka próbnego nie powinna być mniejsza niż 300 mb zawierającego linie segregacyjne oraz linie krawędziowe.</w:t>
      </w:r>
    </w:p>
    <w:p w:rsidR="00A52CC6" w:rsidRDefault="00277913" w:rsidP="001955B5">
      <w:pPr>
        <w:pStyle w:val="Tekstpodstawowy"/>
      </w:pPr>
      <w:r>
        <w:t>Na odcinku próbnym należy:</w:t>
      </w:r>
    </w:p>
    <w:p w:rsidR="00A52CC6" w:rsidRDefault="00643511" w:rsidP="001955B5">
      <w:pPr>
        <w:pStyle w:val="Tekstpodstawowy"/>
      </w:pPr>
      <w:r>
        <w:rPr>
          <w:b/>
        </w:rPr>
        <w:t>sprawdzić ilość wbudowanej masy wraz z kulkami na</w:t>
      </w:r>
      <w:r>
        <w:t xml:space="preserve"> 1m²  powierzchni  oznakowania  na  próbce  z  blachy o wymiarach 240x100x0,5mm, trwale ocechowanej, posiadającą określoną tarę. </w:t>
      </w:r>
      <w:r w:rsidR="00277913">
        <w:t>Cała powierzchnia płytki musi być pokryta aplikowanym materiałem. Ilość wbudowanego materiału musi być zgodna z Aprobatą Techniczną, KOT, EOT. Ilość wbudowanej masy wraz z kulkami powinna zapewnić wymaganą grubość dla oznakowania grubowarstwowego.</w:t>
      </w:r>
    </w:p>
    <w:p w:rsidR="00A52CC6" w:rsidRDefault="00277913" w:rsidP="001955B5">
      <w:pPr>
        <w:pStyle w:val="Tekstpodstawowy"/>
      </w:pPr>
      <w:r>
        <w:rPr>
          <w:b/>
        </w:rPr>
        <w:t xml:space="preserve">sprawdzić widzialność w dzień </w:t>
      </w:r>
      <w:r>
        <w:t xml:space="preserve">tj. wykonać pomiary barwy i współczynnika luminancji β z częstotliwością 1 pomiar na linii segregacyjnej i 2 pomiary na liniach krawędziowych. Jeden pomiar oznacza wykonanie 5 uwidocznionych odczytów (współrzędnych chromatyczności x,y i współczynnika luminancji </w:t>
      </w:r>
      <w:r w:rsidR="00643511">
        <w:t xml:space="preserve">ß) </w:t>
      </w:r>
      <w:r>
        <w:t xml:space="preserve">na tej samej linii i z niewielkim przesunięciem lokalizacji. Wyniki współrzędnych chromatyczności x,y należy nanieść na wykres i sprawdzić czy mieszczą się w polu zdefiniowanym dla koloru białego.  Wszystkie pomiary </w:t>
      </w:r>
      <w:r w:rsidR="00643511">
        <w:t>współrzędnych x</w:t>
      </w:r>
      <w:r>
        <w:t xml:space="preserve">, y muszą mieścić </w:t>
      </w:r>
      <w:r w:rsidR="00643511">
        <w:t>się w</w:t>
      </w:r>
      <w:r>
        <w:t xml:space="preserve"> polu koloru białego. W przypadku nie spełnienia tego wymagania oznakowanie nie może by dopuszczone do wbudowania na drodze Wielkość współczynnika luminancji β jest średnią z pięciu pomiarów i musi spełniać wymagania jak dla nowego oznakowania zgodnie z Aprobatą Techniczną, KOT,</w:t>
      </w:r>
      <w:r>
        <w:rPr>
          <w:spacing w:val="-9"/>
        </w:rPr>
        <w:t xml:space="preserve"> </w:t>
      </w:r>
      <w:r>
        <w:t>EOT.</w:t>
      </w:r>
    </w:p>
    <w:p w:rsidR="00A52CC6" w:rsidRDefault="00277913" w:rsidP="001955B5">
      <w:pPr>
        <w:pStyle w:val="Tekstpodstawowy"/>
      </w:pPr>
      <w:r>
        <w:t>sprawdzić widzialność w nocy poprzez:</w:t>
      </w:r>
    </w:p>
    <w:p w:rsidR="00A52CC6" w:rsidRDefault="00277913" w:rsidP="001955B5">
      <w:pPr>
        <w:pStyle w:val="Tekstpodstawowy"/>
      </w:pPr>
      <w:r>
        <w:t>ocenę</w:t>
      </w:r>
      <w:r>
        <w:rPr>
          <w:spacing w:val="-3"/>
        </w:rPr>
        <w:t xml:space="preserve"> </w:t>
      </w:r>
      <w:r>
        <w:t>wizualną</w:t>
      </w:r>
      <w:r>
        <w:rPr>
          <w:spacing w:val="-2"/>
        </w:rPr>
        <w:t xml:space="preserve"> </w:t>
      </w:r>
      <w:r>
        <w:t>nocą</w:t>
      </w:r>
      <w:r>
        <w:rPr>
          <w:spacing w:val="-4"/>
        </w:rPr>
        <w:t xml:space="preserve"> </w:t>
      </w:r>
      <w:r>
        <w:t>równomierności</w:t>
      </w:r>
      <w:r>
        <w:rPr>
          <w:spacing w:val="-4"/>
        </w:rPr>
        <w:t xml:space="preserve"> </w:t>
      </w:r>
      <w:r>
        <w:t>odblasku</w:t>
      </w:r>
      <w:r>
        <w:rPr>
          <w:spacing w:val="-3"/>
        </w:rPr>
        <w:t xml:space="preserve"> </w:t>
      </w:r>
      <w:r>
        <w:t>na</w:t>
      </w:r>
      <w:r>
        <w:rPr>
          <w:spacing w:val="-2"/>
        </w:rPr>
        <w:t xml:space="preserve"> </w:t>
      </w:r>
      <w:r>
        <w:t>całej</w:t>
      </w:r>
      <w:r>
        <w:rPr>
          <w:spacing w:val="-4"/>
        </w:rPr>
        <w:t xml:space="preserve"> </w:t>
      </w:r>
      <w:r>
        <w:t>szerokości</w:t>
      </w:r>
      <w:r>
        <w:rPr>
          <w:spacing w:val="-2"/>
        </w:rPr>
        <w:t xml:space="preserve"> </w:t>
      </w:r>
      <w:r>
        <w:t>linii</w:t>
      </w:r>
      <w:r>
        <w:rPr>
          <w:spacing w:val="-2"/>
        </w:rPr>
        <w:t xml:space="preserve"> </w:t>
      </w:r>
      <w:r>
        <w:t>w</w:t>
      </w:r>
      <w:r>
        <w:rPr>
          <w:spacing w:val="-6"/>
        </w:rPr>
        <w:t xml:space="preserve"> </w:t>
      </w:r>
      <w:r>
        <w:t>całym</w:t>
      </w:r>
      <w:r>
        <w:rPr>
          <w:spacing w:val="-4"/>
        </w:rPr>
        <w:t xml:space="preserve"> </w:t>
      </w:r>
      <w:r>
        <w:t>przekroju</w:t>
      </w:r>
      <w:r>
        <w:rPr>
          <w:spacing w:val="-3"/>
        </w:rPr>
        <w:t xml:space="preserve"> </w:t>
      </w:r>
      <w:r>
        <w:t>drogi.</w:t>
      </w:r>
      <w:r>
        <w:rPr>
          <w:spacing w:val="-2"/>
        </w:rPr>
        <w:t xml:space="preserve"> </w:t>
      </w:r>
      <w:r>
        <w:t>Oznakowanie</w:t>
      </w:r>
      <w:r>
        <w:rPr>
          <w:spacing w:val="-4"/>
        </w:rPr>
        <w:t xml:space="preserve"> </w:t>
      </w:r>
      <w:r>
        <w:t>musi być jednorodne i nie powinno posiadać żadnych plam,</w:t>
      </w:r>
      <w:r>
        <w:rPr>
          <w:spacing w:val="-14"/>
        </w:rPr>
        <w:t xml:space="preserve"> </w:t>
      </w:r>
      <w:r>
        <w:t>etc.</w:t>
      </w:r>
    </w:p>
    <w:p w:rsidR="00A52CC6" w:rsidRDefault="00277913" w:rsidP="001955B5">
      <w:pPr>
        <w:pStyle w:val="Tekstpodstawowy"/>
      </w:pPr>
      <w:r>
        <w:t xml:space="preserve">pomiar odblasku wykonywany z częstotliwością 1 pomiar na linii segregacyjnej oraz 2 pomiary na liniach krawędziowych </w:t>
      </w:r>
      <w:r w:rsidR="00643511">
        <w:t>w przekroju</w:t>
      </w:r>
      <w:r>
        <w:t xml:space="preserve"> drogi. </w:t>
      </w:r>
      <w:r w:rsidR="00643511">
        <w:t>Jeden pomiar</w:t>
      </w:r>
      <w:r>
        <w:t xml:space="preserve"> oznacza </w:t>
      </w:r>
      <w:r w:rsidR="00643511">
        <w:t>wykonanie 3 uwidocznionych</w:t>
      </w:r>
      <w:r>
        <w:t xml:space="preserve"> odczytów na tej samej </w:t>
      </w:r>
      <w:r w:rsidR="00643511">
        <w:t>linii i</w:t>
      </w:r>
      <w:r>
        <w:t xml:space="preserve"> z niewielkim przesunięciem lokalizacji. Wynik stanowi średnia z trzech odczytów i musi spełniać wymagania jak dla nowego oznakowania zgodnie z Aprobatą Techniczną, KOT,</w:t>
      </w:r>
      <w:r>
        <w:rPr>
          <w:spacing w:val="-16"/>
        </w:rPr>
        <w:t xml:space="preserve"> </w:t>
      </w:r>
      <w:r>
        <w:t>EOT.</w:t>
      </w:r>
    </w:p>
    <w:p w:rsidR="005F02F7" w:rsidRDefault="00277913" w:rsidP="001955B5">
      <w:pPr>
        <w:pStyle w:val="Tekstpodstawowy"/>
      </w:pPr>
      <w:r>
        <w:t>Wyniki uzyskane z odcinka próbnego są przedmiotem oceny Inwestora. Na podstawie wyników uzyskanych na odcinku próbnym Inwestor podejmie decyzję o dopuszczeniu do układania masy na wykonywanym odcinku drogi.</w:t>
      </w:r>
    </w:p>
    <w:p w:rsidR="00A52CC6" w:rsidRPr="00B20401" w:rsidRDefault="00277913" w:rsidP="00EA0247">
      <w:pPr>
        <w:pStyle w:val="Nagwek1"/>
        <w:numPr>
          <w:ilvl w:val="1"/>
          <w:numId w:val="24"/>
        </w:numPr>
        <w:spacing w:before="120" w:after="120"/>
        <w:ind w:left="0" w:firstLine="0"/>
        <w:rPr>
          <w:sz w:val="20"/>
        </w:rPr>
      </w:pPr>
      <w:r w:rsidRPr="00B20401">
        <w:rPr>
          <w:sz w:val="20"/>
        </w:rPr>
        <w:t>Wykonanie oznakowania drogi</w:t>
      </w:r>
    </w:p>
    <w:p w:rsidR="00A52CC6" w:rsidRPr="00B20401" w:rsidRDefault="00277913" w:rsidP="00EA0247">
      <w:pPr>
        <w:pStyle w:val="Nagwek1"/>
        <w:numPr>
          <w:ilvl w:val="2"/>
          <w:numId w:val="24"/>
        </w:numPr>
        <w:spacing w:before="120" w:after="120"/>
        <w:ind w:left="0" w:firstLine="0"/>
        <w:rPr>
          <w:sz w:val="20"/>
        </w:rPr>
      </w:pPr>
      <w:r w:rsidRPr="00B20401">
        <w:rPr>
          <w:sz w:val="20"/>
        </w:rPr>
        <w:t>Dostarczenie materiałów i spełnienie zaleceń producenta materiałów</w:t>
      </w:r>
    </w:p>
    <w:p w:rsidR="00A52CC6" w:rsidRDefault="00277913" w:rsidP="001955B5">
      <w:pPr>
        <w:pStyle w:val="Tekstpodstawowy"/>
      </w:pPr>
      <w:r>
        <w:t>Materiały do znakowania drogi, spełniające wymagania podane w punkcie 2 niniejszej STWiORB, powinny być dostarczone w oryginalnych opakowaniach handlowych i stosowane zgodnie z zaleceniami STWIORB, producenta oraz wymaganiami znajdującymi się w aprobacie technicznej, KOT, EOT.</w:t>
      </w:r>
    </w:p>
    <w:p w:rsidR="00A52CC6" w:rsidRPr="00B20401" w:rsidRDefault="00277913" w:rsidP="00EA0247">
      <w:pPr>
        <w:pStyle w:val="Nagwek1"/>
        <w:numPr>
          <w:ilvl w:val="2"/>
          <w:numId w:val="24"/>
        </w:numPr>
        <w:spacing w:before="120" w:after="120"/>
        <w:ind w:left="0" w:firstLine="0"/>
        <w:rPr>
          <w:sz w:val="20"/>
        </w:rPr>
      </w:pPr>
      <w:r w:rsidRPr="00B20401">
        <w:rPr>
          <w:sz w:val="20"/>
        </w:rPr>
        <w:t>Wykonanie oznakowania jezdni materiałami cienkowarstwowymi</w:t>
      </w:r>
    </w:p>
    <w:p w:rsidR="00A52CC6" w:rsidRDefault="00277913" w:rsidP="001955B5">
      <w:pPr>
        <w:pStyle w:val="Tekstpodstawowy"/>
      </w:pPr>
      <w:r>
        <w:t>Wykonanie oznakowania powinno być zgodne z zaleceniami producenta materiałów, a w przypadku ich braku lub niepełnych danych - zgodne z poniższymi wskazaniami.</w:t>
      </w:r>
    </w:p>
    <w:p w:rsidR="00A52CC6" w:rsidRDefault="00277913" w:rsidP="001955B5">
      <w:pPr>
        <w:pStyle w:val="Tekstpodstawowy"/>
      </w:pPr>
      <w:r>
        <w:t>Farbę do znakowania cienkowarstwowego po otwarciu opakowania należy wymieszać w czasie od 2 do 4 minut do uzyskania pełnej jednorodności. Przed lub w czasie napełniania zbiornika malowarki zaleca się przecedzić farbę przez sito 0,6 mm. Nie wolno stosować do malowania mechanicznego farby, w której osad na dnie opakowania nie daje się całkowicie wymieszać lub na jej powierzchni znajduje się kożuch.</w:t>
      </w:r>
    </w:p>
    <w:p w:rsidR="00A52CC6" w:rsidRDefault="00277913" w:rsidP="001955B5">
      <w:pPr>
        <w:pStyle w:val="Tekstpodstawowy"/>
      </w:pPr>
      <w:r>
        <w:t>Farbę należy nakładać równomierną warstwą o grubości ustalonej w STWIORB, zachowując wymiary i ostrość krawędzi. Grubość nanoszonej warstwy zaleca się kontrolować przy pomocy grzebienia pomiarowego na płytce szklanej lub metalowej podkładanej na drodze malowarki. Ilość farby zużyta w czasie prac, określona przez średnie zużycie na metr kwadratowy nie może się różnić od ilości ustalonej, więcej niż o 20%.</w:t>
      </w:r>
    </w:p>
    <w:p w:rsidR="00A52CC6" w:rsidRDefault="00277913" w:rsidP="001955B5">
      <w:pPr>
        <w:pStyle w:val="Tekstpodstawowy"/>
      </w:pPr>
      <w:r>
        <w:t xml:space="preserve">Wszystkie większe prace powinny być wykonane przy użyciu samojezdnych malowarek z automatycznym podziałem linii i posypywaniem kulkami szklanymi z ew. materiałem uszorstniającym. W przypadku mniejszych prac, wielkość, wydajność </w:t>
      </w:r>
      <w:r>
        <w:lastRenderedPageBreak/>
        <w:t xml:space="preserve">i jakość sprzętu należy dostosować do zakresu i rozmiaru prac. Decyzję </w:t>
      </w:r>
      <w:r w:rsidR="00643511">
        <w:t>dotyczącą rodzaju</w:t>
      </w:r>
      <w:r>
        <w:t xml:space="preserve"> </w:t>
      </w:r>
      <w:r w:rsidR="00643511">
        <w:t>sprzętu i</w:t>
      </w:r>
      <w:r>
        <w:t xml:space="preserve"> sposobu wykonania znakowania podejmuje Inwestor na wniosek</w:t>
      </w:r>
      <w:r>
        <w:rPr>
          <w:spacing w:val="-2"/>
        </w:rPr>
        <w:t xml:space="preserve"> </w:t>
      </w:r>
      <w:r>
        <w:t>Wykonawcy.</w:t>
      </w:r>
    </w:p>
    <w:p w:rsidR="00A52CC6" w:rsidRPr="00B20401" w:rsidRDefault="00277913" w:rsidP="00EA0247">
      <w:pPr>
        <w:pStyle w:val="Nagwek1"/>
        <w:numPr>
          <w:ilvl w:val="2"/>
          <w:numId w:val="24"/>
        </w:numPr>
        <w:spacing w:before="120" w:after="120"/>
        <w:ind w:left="0" w:firstLine="0"/>
        <w:rPr>
          <w:sz w:val="20"/>
        </w:rPr>
      </w:pPr>
      <w:r w:rsidRPr="00B20401">
        <w:rPr>
          <w:sz w:val="20"/>
        </w:rPr>
        <w:t xml:space="preserve">Wykonanie oznakowania jezdni materiałami </w:t>
      </w:r>
      <w:r w:rsidR="00643511" w:rsidRPr="00B20401">
        <w:rPr>
          <w:sz w:val="20"/>
        </w:rPr>
        <w:t>grubowarstwowymi</w:t>
      </w:r>
    </w:p>
    <w:p w:rsidR="00A52CC6" w:rsidRDefault="00277913" w:rsidP="001955B5">
      <w:pPr>
        <w:pStyle w:val="Tekstpodstawowy"/>
      </w:pPr>
      <w:r>
        <w:t>Wykonanie oznakowania powinno być zgodne z zaleceniami producenta materiałów, a w przypadku ich braku lub niepełnych danych - zgodne z poniższymi wskazaniami.</w:t>
      </w:r>
    </w:p>
    <w:p w:rsidR="00A52CC6" w:rsidRDefault="00277913" w:rsidP="001955B5">
      <w:pPr>
        <w:pStyle w:val="Tekstpodstawowy"/>
      </w:pPr>
      <w:r>
        <w:t>Materiał znakujący należy nakładać równomierną warstwą o grubości 5mm w przypadku oznakowania grubowarstwowego strukturalnego, zachowując wymiary i ostrość krawędzi. Grubość nanoszonej warstwy zaleca się kontrolować przy pomocy grzebienia pomiarowego na płytce metalowej, podkładanej na drodze malowarki.</w:t>
      </w:r>
    </w:p>
    <w:p w:rsidR="00A52CC6" w:rsidRDefault="00277913" w:rsidP="001955B5">
      <w:pPr>
        <w:pStyle w:val="Tekstpodstawowy"/>
      </w:pPr>
      <w:r>
        <w:t>Ilość materiału zużyta w czasie prac, określona przez średnie zużycie na metr kwadratowy, nie może się różnić od ilości ustalonej, więcej niż o 20%.</w:t>
      </w:r>
    </w:p>
    <w:p w:rsidR="00A52CC6" w:rsidRDefault="00277913" w:rsidP="001955B5">
      <w:pPr>
        <w:pStyle w:val="Tekstpodstawowy"/>
      </w:pPr>
      <w:r>
        <w:t>W przypadku mas termoplastycznych wszystkie większe prace (linie krawędziowe i segregacyjne na długich odcinkach dróg) powinny być wykonywane przy użyciu urządzeń samobieżnych z automatycznym podziałem linii techniką wytłaczania, wylewania, natrysku itp. oraz posypywaniem kulkami szklanymi z materiałem uszorstniającym. W przypadku mniejszych prac, wielkość, wydajność i jakość sprzętu należy dostosować do ich zakresu i rozmiaru. Decyzję dotyczącą rodzaju sprzętu i sposobu wykonania znakowania podejmuje Inwestor na wniosek Wykonawcy.</w:t>
      </w:r>
    </w:p>
    <w:p w:rsidR="00A52CC6" w:rsidRPr="00B20401" w:rsidRDefault="00277913" w:rsidP="00EA0247">
      <w:pPr>
        <w:pStyle w:val="Nagwek1"/>
        <w:numPr>
          <w:ilvl w:val="2"/>
          <w:numId w:val="24"/>
        </w:numPr>
        <w:spacing w:before="120" w:after="120"/>
        <w:ind w:left="0" w:firstLine="0"/>
        <w:rPr>
          <w:sz w:val="20"/>
        </w:rPr>
      </w:pPr>
      <w:r w:rsidRPr="00B20401">
        <w:rPr>
          <w:sz w:val="20"/>
        </w:rPr>
        <w:t>Posypanie mikrokulkami szklanymi</w:t>
      </w:r>
    </w:p>
    <w:p w:rsidR="00A52CC6" w:rsidRDefault="00277913" w:rsidP="001955B5">
      <w:pPr>
        <w:pStyle w:val="Tekstpodstawowy"/>
      </w:pPr>
      <w:r>
        <w:t>Mikrokulki należy nanosić pod ciśnieniem na oznakowanie poziome, co zapewnia ich lepsze zagłębienie w warstwie materiału</w:t>
      </w:r>
      <w:r>
        <w:rPr>
          <w:spacing w:val="-3"/>
        </w:rPr>
        <w:t xml:space="preserve"> </w:t>
      </w:r>
      <w:r>
        <w:t>w</w:t>
      </w:r>
      <w:r>
        <w:rPr>
          <w:spacing w:val="-7"/>
        </w:rPr>
        <w:t xml:space="preserve"> </w:t>
      </w:r>
      <w:r>
        <w:t>czasie</w:t>
      </w:r>
      <w:r>
        <w:rPr>
          <w:spacing w:val="-3"/>
        </w:rPr>
        <w:t xml:space="preserve"> </w:t>
      </w:r>
      <w:r>
        <w:t>nie</w:t>
      </w:r>
      <w:r>
        <w:rPr>
          <w:spacing w:val="-4"/>
        </w:rPr>
        <w:t xml:space="preserve"> </w:t>
      </w:r>
      <w:r>
        <w:t>dłuższym</w:t>
      </w:r>
      <w:r>
        <w:rPr>
          <w:spacing w:val="-2"/>
        </w:rPr>
        <w:t xml:space="preserve"> </w:t>
      </w:r>
      <w:r>
        <w:t>niż</w:t>
      </w:r>
      <w:r>
        <w:rPr>
          <w:spacing w:val="-2"/>
        </w:rPr>
        <w:t xml:space="preserve"> </w:t>
      </w:r>
      <w:r>
        <w:t>1</w:t>
      </w:r>
      <w:r>
        <w:rPr>
          <w:spacing w:val="-3"/>
        </w:rPr>
        <w:t xml:space="preserve"> </w:t>
      </w:r>
      <w:r>
        <w:t>–</w:t>
      </w:r>
      <w:r>
        <w:rPr>
          <w:spacing w:val="-4"/>
        </w:rPr>
        <w:t xml:space="preserve"> </w:t>
      </w:r>
      <w:r>
        <w:t>3</w:t>
      </w:r>
      <w:r>
        <w:rPr>
          <w:spacing w:val="-3"/>
        </w:rPr>
        <w:t xml:space="preserve"> </w:t>
      </w:r>
      <w:r>
        <w:t>sek.</w:t>
      </w:r>
      <w:r>
        <w:rPr>
          <w:spacing w:val="-4"/>
        </w:rPr>
        <w:t xml:space="preserve"> </w:t>
      </w:r>
      <w:r>
        <w:t>po wymalowaniu.</w:t>
      </w:r>
      <w:r>
        <w:rPr>
          <w:spacing w:val="-2"/>
        </w:rPr>
        <w:t xml:space="preserve"> </w:t>
      </w:r>
      <w:r>
        <w:t>Ciśnienie</w:t>
      </w:r>
      <w:r>
        <w:rPr>
          <w:spacing w:val="-5"/>
        </w:rPr>
        <w:t xml:space="preserve"> </w:t>
      </w:r>
      <w:r>
        <w:t>powietrza</w:t>
      </w:r>
      <w:r>
        <w:rPr>
          <w:spacing w:val="-2"/>
        </w:rPr>
        <w:t xml:space="preserve"> </w:t>
      </w:r>
      <w:r>
        <w:t>przy</w:t>
      </w:r>
      <w:r>
        <w:rPr>
          <w:spacing w:val="-2"/>
        </w:rPr>
        <w:t xml:space="preserve"> </w:t>
      </w:r>
      <w:r>
        <w:t>natrysku</w:t>
      </w:r>
      <w:r>
        <w:rPr>
          <w:spacing w:val="-3"/>
        </w:rPr>
        <w:t xml:space="preserve"> </w:t>
      </w:r>
      <w:r>
        <w:t>mikrokulek</w:t>
      </w:r>
      <w:r>
        <w:rPr>
          <w:spacing w:val="-4"/>
        </w:rPr>
        <w:t xml:space="preserve"> </w:t>
      </w:r>
      <w:r>
        <w:t>należy dobrać indywidualnie do danej malowarki i danego materiału do znakowania. Powinno ono zapewnić optymalne zanurzenie kulek, dające prawidłową odblaskowość przez cały okres eksploatacji oznakowania. Wybór granulacji oraz wielkość wydatku mikrokulek należy dobierać odpowiednio do rodzaju stosowanego materiału do poziomego znakowania dróg i grubości nakładanej warstwy, zgodnie zaleceniami producenta tego materiału. Mikrokulki należy stosować wyłącznie z materiałami do poziomego znakowania dróg przeznaczonymi do wykonywania oznakowań odblaskowych. Mikrokulki zawilgocone lub zbrylone nie powinny być</w:t>
      </w:r>
      <w:r>
        <w:rPr>
          <w:spacing w:val="-14"/>
        </w:rPr>
        <w:t xml:space="preserve"> </w:t>
      </w:r>
      <w:r>
        <w:t>stosowane.</w:t>
      </w:r>
    </w:p>
    <w:p w:rsidR="00A52CC6" w:rsidRPr="00B20401" w:rsidRDefault="00277913" w:rsidP="00EA0247">
      <w:pPr>
        <w:pStyle w:val="Nagwek1"/>
        <w:numPr>
          <w:ilvl w:val="2"/>
          <w:numId w:val="24"/>
        </w:numPr>
        <w:spacing w:before="120" w:after="120"/>
        <w:ind w:left="0" w:firstLine="0"/>
        <w:rPr>
          <w:sz w:val="20"/>
        </w:rPr>
      </w:pPr>
      <w:r w:rsidRPr="00B20401">
        <w:rPr>
          <w:sz w:val="20"/>
        </w:rPr>
        <w:t>Wykonanie oznakowania tymczasowego</w:t>
      </w:r>
    </w:p>
    <w:p w:rsidR="00A52CC6" w:rsidRDefault="00277913" w:rsidP="001955B5">
      <w:pPr>
        <w:pStyle w:val="Tekstpodstawowy"/>
      </w:pPr>
      <w:r>
        <w:t>Do wykonywania oznakowania tymczasowego barwy żółtej należy stosować materiały łatwe do usunięcia po zakończeniu okresu tymczasowości. 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Materiały stosowane do wykonywania oznakowania tymczasowego powinny także posiadać aprobaty techniczne, a Producent powinien wystawiać deklarację zgodności.</w:t>
      </w:r>
    </w:p>
    <w:p w:rsidR="00A52CC6" w:rsidRPr="00B20401" w:rsidRDefault="00277913" w:rsidP="00EA0247">
      <w:pPr>
        <w:pStyle w:val="Nagwek1"/>
        <w:numPr>
          <w:ilvl w:val="2"/>
          <w:numId w:val="24"/>
        </w:numPr>
        <w:spacing w:before="120" w:after="120"/>
        <w:ind w:left="0" w:firstLine="0"/>
        <w:rPr>
          <w:sz w:val="20"/>
        </w:rPr>
      </w:pPr>
      <w:r w:rsidRPr="00B20401">
        <w:rPr>
          <w:sz w:val="20"/>
        </w:rPr>
        <w:t>Usuwanie oznakowania poziomego</w:t>
      </w:r>
    </w:p>
    <w:p w:rsidR="00A52CC6" w:rsidRDefault="00277913" w:rsidP="001955B5">
      <w:pPr>
        <w:pStyle w:val="Tekstpodstawowy"/>
      </w:pPr>
      <w:r>
        <w:t>W</w:t>
      </w:r>
      <w:r>
        <w:rPr>
          <w:spacing w:val="-8"/>
        </w:rPr>
        <w:t xml:space="preserve"> </w:t>
      </w:r>
      <w:r>
        <w:t>przypadku</w:t>
      </w:r>
      <w:r>
        <w:rPr>
          <w:spacing w:val="-7"/>
        </w:rPr>
        <w:t xml:space="preserve"> </w:t>
      </w:r>
      <w:r>
        <w:t>konieczności</w:t>
      </w:r>
      <w:r>
        <w:rPr>
          <w:spacing w:val="-7"/>
        </w:rPr>
        <w:t xml:space="preserve"> </w:t>
      </w:r>
      <w:r>
        <w:t>usunięcia</w:t>
      </w:r>
      <w:r>
        <w:rPr>
          <w:spacing w:val="-7"/>
        </w:rPr>
        <w:t xml:space="preserve"> </w:t>
      </w:r>
      <w:r>
        <w:t>istniejącego</w:t>
      </w:r>
      <w:r>
        <w:rPr>
          <w:spacing w:val="-5"/>
        </w:rPr>
        <w:t xml:space="preserve"> </w:t>
      </w:r>
      <w:r>
        <w:t>oznakowania</w:t>
      </w:r>
      <w:r>
        <w:rPr>
          <w:spacing w:val="-6"/>
        </w:rPr>
        <w:t xml:space="preserve"> </w:t>
      </w:r>
      <w:r>
        <w:t>poziomego,</w:t>
      </w:r>
      <w:r>
        <w:rPr>
          <w:spacing w:val="-5"/>
        </w:rPr>
        <w:t xml:space="preserve"> </w:t>
      </w:r>
      <w:r>
        <w:t>czynność</w:t>
      </w:r>
      <w:r>
        <w:rPr>
          <w:spacing w:val="-4"/>
        </w:rPr>
        <w:t xml:space="preserve"> </w:t>
      </w:r>
      <w:r>
        <w:t>tę</w:t>
      </w:r>
      <w:r>
        <w:rPr>
          <w:spacing w:val="-7"/>
        </w:rPr>
        <w:t xml:space="preserve"> </w:t>
      </w:r>
      <w:r>
        <w:t>należy</w:t>
      </w:r>
      <w:r>
        <w:rPr>
          <w:spacing w:val="-6"/>
        </w:rPr>
        <w:t xml:space="preserve"> </w:t>
      </w:r>
      <w:r>
        <w:t>wykonać</w:t>
      </w:r>
      <w:r>
        <w:rPr>
          <w:spacing w:val="-4"/>
        </w:rPr>
        <w:t xml:space="preserve"> </w:t>
      </w:r>
      <w:r>
        <w:t>jak</w:t>
      </w:r>
      <w:r>
        <w:rPr>
          <w:spacing w:val="-3"/>
        </w:rPr>
        <w:t xml:space="preserve"> </w:t>
      </w:r>
      <w:r>
        <w:t>najmniej uszkadzając nawierzchnię. Zaleca się wykonywać usuwanie</w:t>
      </w:r>
      <w:r>
        <w:rPr>
          <w:spacing w:val="-10"/>
        </w:rPr>
        <w:t xml:space="preserve"> </w:t>
      </w:r>
      <w:r>
        <w:t>oznakowania:</w:t>
      </w:r>
    </w:p>
    <w:p w:rsidR="00A52CC6" w:rsidRDefault="00277913" w:rsidP="001955B5">
      <w:pPr>
        <w:pStyle w:val="Tekstpodstawowy"/>
      </w:pPr>
      <w:r>
        <w:t>cienkowarstwowego, metodą: frezowania mechanicznego lub wodą pod wysokim ciśnieniem (waterblasting), piaskowania, śrutowania, trawienia, wypalania lub</w:t>
      </w:r>
      <w:r>
        <w:rPr>
          <w:spacing w:val="-10"/>
        </w:rPr>
        <w:t xml:space="preserve"> </w:t>
      </w:r>
      <w:r>
        <w:t>zamalowania,</w:t>
      </w:r>
    </w:p>
    <w:p w:rsidR="00A52CC6" w:rsidRDefault="00277913" w:rsidP="001955B5">
      <w:pPr>
        <w:pStyle w:val="Tekstpodstawowy"/>
      </w:pPr>
      <w:r>
        <w:t>grubowarstwowego, metodą piaskowania, kulkowania,</w:t>
      </w:r>
      <w:r>
        <w:rPr>
          <w:spacing w:val="-10"/>
        </w:rPr>
        <w:t xml:space="preserve"> </w:t>
      </w:r>
      <w:r>
        <w:t>frezowania.</w:t>
      </w:r>
    </w:p>
    <w:p w:rsidR="00A52CC6" w:rsidRDefault="00277913" w:rsidP="001955B5">
      <w:pPr>
        <w:pStyle w:val="Tekstpodstawowy"/>
      </w:pPr>
      <w:r>
        <w:t>Środki zastosowane do usunięcia oznakowania nie mogą wpływać ujemnie na przyczepność nowego oznakowania do podłoża, na jego szorstkość, trwałość oraz na właściwości podłoża.</w:t>
      </w:r>
    </w:p>
    <w:p w:rsidR="005F02F7" w:rsidRDefault="00277913" w:rsidP="001955B5">
      <w:pPr>
        <w:pStyle w:val="Tekstpodstawowy"/>
      </w:pPr>
      <w:r>
        <w:t xml:space="preserve">Materiały pozostałe </w:t>
      </w:r>
      <w:r w:rsidR="00643511">
        <w:t>po usunięciu</w:t>
      </w:r>
      <w:r>
        <w:t xml:space="preserve"> oznakowania należy usunąć </w:t>
      </w:r>
      <w:r w:rsidR="00643511">
        <w:t>z drogi tak, aby nie zanieczyszczały środowiska</w:t>
      </w:r>
      <w:r>
        <w:t>, w miejsce zaakceptowane przez</w:t>
      </w:r>
      <w:r>
        <w:rPr>
          <w:spacing w:val="-1"/>
        </w:rPr>
        <w:t xml:space="preserve"> </w:t>
      </w:r>
      <w:r>
        <w:t>Inwestora.</w:t>
      </w:r>
    </w:p>
    <w:p w:rsidR="00A52CC6" w:rsidRPr="00B20401" w:rsidRDefault="00277913" w:rsidP="00EA0247">
      <w:pPr>
        <w:pStyle w:val="Nagwek1"/>
        <w:numPr>
          <w:ilvl w:val="0"/>
          <w:numId w:val="24"/>
        </w:numPr>
        <w:spacing w:before="120" w:after="120"/>
        <w:ind w:left="0" w:firstLine="0"/>
        <w:rPr>
          <w:sz w:val="20"/>
        </w:rPr>
      </w:pPr>
      <w:r w:rsidRPr="00B20401">
        <w:rPr>
          <w:sz w:val="20"/>
        </w:rPr>
        <w:t>KONTROLA JAKOŚCI ROBÓT</w:t>
      </w:r>
    </w:p>
    <w:p w:rsidR="00A52CC6" w:rsidRPr="00B20401" w:rsidRDefault="00277913" w:rsidP="00EA0247">
      <w:pPr>
        <w:pStyle w:val="Nagwek1"/>
        <w:numPr>
          <w:ilvl w:val="1"/>
          <w:numId w:val="24"/>
        </w:numPr>
        <w:spacing w:before="120" w:after="120"/>
        <w:ind w:left="0" w:firstLine="0"/>
        <w:rPr>
          <w:sz w:val="20"/>
        </w:rPr>
      </w:pPr>
      <w:r w:rsidRPr="00B20401">
        <w:rPr>
          <w:sz w:val="20"/>
        </w:rPr>
        <w:t>Ogólne zasady kontroli jakości robót</w:t>
      </w:r>
    </w:p>
    <w:p w:rsidR="00A52CC6" w:rsidRDefault="00277913" w:rsidP="001955B5">
      <w:pPr>
        <w:pStyle w:val="Tekstpodstawowy"/>
      </w:pPr>
      <w:r>
        <w:t>Ogólne zasady kontroli jakości robót podano w STWiORB DM.00.00.00 „Wymagania ogólne” p.6.</w:t>
      </w:r>
    </w:p>
    <w:p w:rsidR="00A52CC6" w:rsidRPr="00B20401" w:rsidRDefault="00277913" w:rsidP="00EA0247">
      <w:pPr>
        <w:pStyle w:val="Nagwek1"/>
        <w:numPr>
          <w:ilvl w:val="1"/>
          <w:numId w:val="24"/>
        </w:numPr>
        <w:spacing w:before="120" w:after="120"/>
        <w:ind w:left="0" w:firstLine="0"/>
        <w:rPr>
          <w:sz w:val="20"/>
        </w:rPr>
      </w:pPr>
      <w:r w:rsidRPr="00B20401">
        <w:rPr>
          <w:sz w:val="20"/>
        </w:rPr>
        <w:t>Kontrola jakości materiałów</w:t>
      </w:r>
    </w:p>
    <w:p w:rsidR="00A52CC6" w:rsidRDefault="00277913" w:rsidP="001955B5">
      <w:pPr>
        <w:pStyle w:val="Tekstpodstawowy"/>
      </w:pPr>
      <w:r>
        <w:t>Przed przystąpieniem do robót Wykonawca powinien:</w:t>
      </w:r>
    </w:p>
    <w:p w:rsidR="00A52CC6" w:rsidRDefault="00277913" w:rsidP="001955B5">
      <w:pPr>
        <w:pStyle w:val="Tekstpodstawowy"/>
      </w:pPr>
      <w:r>
        <w:t>uzyskać wymagane dokumenty, dopuszczające wyroby budowlane do obrotu i powszechnego stosowania (certyfikaty</w:t>
      </w:r>
      <w:r>
        <w:rPr>
          <w:spacing w:val="-6"/>
        </w:rPr>
        <w:t xml:space="preserve"> </w:t>
      </w:r>
      <w:r>
        <w:t>zgodności,</w:t>
      </w:r>
      <w:r>
        <w:rPr>
          <w:spacing w:val="-5"/>
        </w:rPr>
        <w:t xml:space="preserve"> </w:t>
      </w:r>
      <w:r>
        <w:t>deklarację</w:t>
      </w:r>
      <w:r>
        <w:rPr>
          <w:spacing w:val="-6"/>
        </w:rPr>
        <w:t xml:space="preserve"> </w:t>
      </w:r>
      <w:r>
        <w:t>właściwości</w:t>
      </w:r>
      <w:r>
        <w:rPr>
          <w:spacing w:val="-7"/>
        </w:rPr>
        <w:t xml:space="preserve"> </w:t>
      </w:r>
      <w:r>
        <w:t>użytkowych,</w:t>
      </w:r>
      <w:r>
        <w:rPr>
          <w:spacing w:val="-8"/>
        </w:rPr>
        <w:t xml:space="preserve"> </w:t>
      </w:r>
      <w:r>
        <w:t>ew.</w:t>
      </w:r>
      <w:r>
        <w:rPr>
          <w:spacing w:val="-7"/>
        </w:rPr>
        <w:t xml:space="preserve"> </w:t>
      </w:r>
      <w:r>
        <w:t>badania</w:t>
      </w:r>
      <w:r>
        <w:rPr>
          <w:spacing w:val="-8"/>
        </w:rPr>
        <w:t xml:space="preserve"> </w:t>
      </w:r>
      <w:r>
        <w:t>materiałów</w:t>
      </w:r>
      <w:r>
        <w:rPr>
          <w:spacing w:val="-5"/>
        </w:rPr>
        <w:t xml:space="preserve"> </w:t>
      </w:r>
      <w:r>
        <w:t>wykonane</w:t>
      </w:r>
      <w:r>
        <w:rPr>
          <w:spacing w:val="-5"/>
        </w:rPr>
        <w:t xml:space="preserve"> </w:t>
      </w:r>
      <w:r>
        <w:t>przez</w:t>
      </w:r>
      <w:r>
        <w:rPr>
          <w:spacing w:val="-8"/>
        </w:rPr>
        <w:t xml:space="preserve"> </w:t>
      </w:r>
      <w:r>
        <w:t>dostawców</w:t>
      </w:r>
      <w:r>
        <w:rPr>
          <w:spacing w:val="-5"/>
        </w:rPr>
        <w:t xml:space="preserve"> </w:t>
      </w:r>
      <w:r>
        <w:t>itp.),</w:t>
      </w:r>
    </w:p>
    <w:p w:rsidR="00A52CC6" w:rsidRDefault="00277913" w:rsidP="001955B5">
      <w:pPr>
        <w:pStyle w:val="Tekstpodstawowy"/>
      </w:pPr>
      <w:r>
        <w:t>sprawdzić cechy zewnętrzne gotowych</w:t>
      </w:r>
      <w:r>
        <w:rPr>
          <w:spacing w:val="-8"/>
        </w:rPr>
        <w:t xml:space="preserve"> </w:t>
      </w:r>
      <w:r>
        <w:t>materiałów.</w:t>
      </w:r>
    </w:p>
    <w:p w:rsidR="00A52CC6" w:rsidRDefault="00277913" w:rsidP="001955B5">
      <w:pPr>
        <w:pStyle w:val="Tekstpodstawowy"/>
      </w:pPr>
      <w:r>
        <w:t xml:space="preserve">Wszystkie dokumenty oraz wyniki badań Wykonawca przedstawia Inwestorowi do akceptacji. Ponadto Wykonawca jest </w:t>
      </w:r>
      <w:r>
        <w:lastRenderedPageBreak/>
        <w:t>zobowiązany dostarczyć próbniki z naniesionymi wzorcami oznakowania na blasze (300x250x0,8mm), po jednym dla każdego rodzaju materiału. Próbniki muszą być wykonane zgodnie z Aprobatą Techniczną (wagowe zużycie materiału, wzorzec struktury wykonywanego oznakowania).</w:t>
      </w:r>
    </w:p>
    <w:p w:rsidR="00A52CC6" w:rsidRPr="00B20401" w:rsidRDefault="00277913" w:rsidP="00EA0247">
      <w:pPr>
        <w:pStyle w:val="Nagwek1"/>
        <w:numPr>
          <w:ilvl w:val="1"/>
          <w:numId w:val="24"/>
        </w:numPr>
        <w:spacing w:before="120" w:after="120"/>
        <w:ind w:left="0" w:firstLine="0"/>
        <w:rPr>
          <w:sz w:val="20"/>
        </w:rPr>
      </w:pPr>
      <w:r w:rsidRPr="00B20401">
        <w:rPr>
          <w:sz w:val="20"/>
        </w:rPr>
        <w:t>Badanie przygotowania podłoża i przedznakowania</w:t>
      </w:r>
    </w:p>
    <w:p w:rsidR="00A52CC6" w:rsidRDefault="00277913" w:rsidP="001955B5">
      <w:pPr>
        <w:pStyle w:val="Tekstpodstawowy"/>
      </w:pPr>
      <w:r>
        <w:t>Powierzchnia jezdni przed wykonaniem znakowania poziomego musi być całkowicie czysta i sucha. Przedznakowanie powinno być wykonane zgodnie z wymaganiami punktu 5.4 niniejszej SWTIORB.</w:t>
      </w:r>
    </w:p>
    <w:p w:rsidR="00A52CC6" w:rsidRPr="00B20401" w:rsidRDefault="00277913" w:rsidP="00EA0247">
      <w:pPr>
        <w:pStyle w:val="Nagwek1"/>
        <w:numPr>
          <w:ilvl w:val="1"/>
          <w:numId w:val="24"/>
        </w:numPr>
        <w:spacing w:before="120" w:after="120"/>
        <w:ind w:left="0" w:firstLine="0"/>
        <w:rPr>
          <w:sz w:val="20"/>
        </w:rPr>
      </w:pPr>
      <w:r w:rsidRPr="00B20401">
        <w:rPr>
          <w:sz w:val="20"/>
        </w:rPr>
        <w:t>Badania wykonania oznakowania poziomego</w:t>
      </w:r>
    </w:p>
    <w:p w:rsidR="00A52CC6" w:rsidRPr="00B20401" w:rsidRDefault="00277913" w:rsidP="00EA0247">
      <w:pPr>
        <w:pStyle w:val="Nagwek1"/>
        <w:numPr>
          <w:ilvl w:val="2"/>
          <w:numId w:val="24"/>
        </w:numPr>
        <w:spacing w:before="120" w:after="120"/>
        <w:ind w:left="0" w:firstLine="0"/>
        <w:rPr>
          <w:sz w:val="20"/>
        </w:rPr>
      </w:pPr>
      <w:r w:rsidRPr="00B20401">
        <w:rPr>
          <w:sz w:val="20"/>
        </w:rPr>
        <w:t>Wymagania wobec oznakowania poziomego</w:t>
      </w:r>
    </w:p>
    <w:p w:rsidR="00A52CC6" w:rsidRPr="00B20401" w:rsidRDefault="00277913" w:rsidP="00EA0247">
      <w:pPr>
        <w:pStyle w:val="Nagwek1"/>
        <w:numPr>
          <w:ilvl w:val="3"/>
          <w:numId w:val="24"/>
        </w:numPr>
        <w:spacing w:before="120" w:after="120"/>
        <w:ind w:left="0" w:firstLine="0"/>
        <w:rPr>
          <w:sz w:val="20"/>
        </w:rPr>
      </w:pPr>
      <w:r w:rsidRPr="00B20401">
        <w:rPr>
          <w:sz w:val="20"/>
        </w:rPr>
        <w:t>Zasady</w:t>
      </w:r>
    </w:p>
    <w:p w:rsidR="00A52CC6" w:rsidRDefault="00277913" w:rsidP="001955B5">
      <w:pPr>
        <w:pStyle w:val="Tekstpodstawowy"/>
      </w:pPr>
      <w:r>
        <w:t>Wymagania sprecyzowano przede wszystkim w celu określenia właściwości oznakowania dróg w czasie ich użytkowania.</w:t>
      </w:r>
      <w:r>
        <w:rPr>
          <w:spacing w:val="-9"/>
        </w:rPr>
        <w:t xml:space="preserve"> </w:t>
      </w:r>
      <w:r>
        <w:t>Wymagania</w:t>
      </w:r>
      <w:r>
        <w:rPr>
          <w:spacing w:val="-8"/>
        </w:rPr>
        <w:t xml:space="preserve"> </w:t>
      </w:r>
      <w:r>
        <w:t>określa</w:t>
      </w:r>
      <w:r>
        <w:rPr>
          <w:spacing w:val="-8"/>
        </w:rPr>
        <w:t xml:space="preserve"> </w:t>
      </w:r>
      <w:r>
        <w:t>się</w:t>
      </w:r>
      <w:r>
        <w:rPr>
          <w:spacing w:val="-7"/>
        </w:rPr>
        <w:t xml:space="preserve"> </w:t>
      </w:r>
      <w:r>
        <w:t>kilkoma</w:t>
      </w:r>
      <w:r>
        <w:rPr>
          <w:spacing w:val="-9"/>
        </w:rPr>
        <w:t xml:space="preserve"> </w:t>
      </w:r>
      <w:r>
        <w:t>parametrami</w:t>
      </w:r>
      <w:r>
        <w:rPr>
          <w:spacing w:val="-9"/>
        </w:rPr>
        <w:t xml:space="preserve"> </w:t>
      </w:r>
      <w:r>
        <w:t>reprezentującymi</w:t>
      </w:r>
      <w:r>
        <w:rPr>
          <w:spacing w:val="-8"/>
        </w:rPr>
        <w:t xml:space="preserve"> </w:t>
      </w:r>
      <w:r>
        <w:t>różne</w:t>
      </w:r>
      <w:r>
        <w:rPr>
          <w:spacing w:val="-7"/>
        </w:rPr>
        <w:t xml:space="preserve"> </w:t>
      </w:r>
      <w:r>
        <w:t>aspekty</w:t>
      </w:r>
      <w:r>
        <w:rPr>
          <w:spacing w:val="-7"/>
        </w:rPr>
        <w:t xml:space="preserve"> </w:t>
      </w:r>
      <w:r>
        <w:t>właściwości</w:t>
      </w:r>
      <w:r>
        <w:rPr>
          <w:spacing w:val="-8"/>
        </w:rPr>
        <w:t xml:space="preserve"> </w:t>
      </w:r>
      <w:r>
        <w:t>oznakowania dróg według PN-EN 1436+A1:2008 Materiały do poziomego oznakowania dróg. Wymagania dotyczące poziomych oznakowań</w:t>
      </w:r>
      <w:r>
        <w:rPr>
          <w:spacing w:val="1"/>
        </w:rPr>
        <w:t xml:space="preserve"> </w:t>
      </w:r>
      <w:r>
        <w:t>dróg.</w:t>
      </w:r>
    </w:p>
    <w:p w:rsidR="00A52CC6" w:rsidRDefault="00277913" w:rsidP="001955B5">
      <w:pPr>
        <w:pStyle w:val="Tekstpodstawowy"/>
      </w:pPr>
      <w:r>
        <w:t xml:space="preserve">Badania wstępne, dla których określono pierwsze wymaganie, są </w:t>
      </w:r>
      <w:r>
        <w:rPr>
          <w:spacing w:val="-4"/>
        </w:rPr>
        <w:t xml:space="preserve">wykonywane </w:t>
      </w:r>
      <w:r>
        <w:t xml:space="preserve">w celu kontroli przed odbiorem. </w:t>
      </w:r>
      <w:r>
        <w:rPr>
          <w:spacing w:val="-4"/>
        </w:rPr>
        <w:t xml:space="preserve">Powinny </w:t>
      </w:r>
      <w:r>
        <w:t xml:space="preserve">być wykonane w terminie od 14 do </w:t>
      </w:r>
      <w:r>
        <w:rPr>
          <w:spacing w:val="-4"/>
        </w:rPr>
        <w:t xml:space="preserve">30 </w:t>
      </w:r>
      <w:r>
        <w:t xml:space="preserve">dnia po wykonaniu. </w:t>
      </w:r>
      <w:r>
        <w:rPr>
          <w:spacing w:val="-4"/>
        </w:rPr>
        <w:t xml:space="preserve">Kolejne </w:t>
      </w:r>
      <w:r>
        <w:t xml:space="preserve">badania kontrolne należy wykonywać po okresie, od 3 do 6 </w:t>
      </w:r>
      <w:r>
        <w:rPr>
          <w:spacing w:val="-4"/>
        </w:rPr>
        <w:t xml:space="preserve">miesięcy </w:t>
      </w:r>
      <w:r>
        <w:t>po wykonaniu i przed upływem 1 roku, oraz po 2, 3 i 4 latach dla materiałów o trwałości dłuższej niż 1 rok.</w:t>
      </w:r>
    </w:p>
    <w:p w:rsidR="00A52CC6" w:rsidRPr="00B20401" w:rsidRDefault="00277913" w:rsidP="00EA0247">
      <w:pPr>
        <w:pStyle w:val="Nagwek1"/>
        <w:numPr>
          <w:ilvl w:val="3"/>
          <w:numId w:val="24"/>
        </w:numPr>
        <w:spacing w:before="120" w:after="120"/>
        <w:ind w:left="0" w:firstLine="0"/>
        <w:rPr>
          <w:sz w:val="20"/>
        </w:rPr>
      </w:pPr>
      <w:r w:rsidRPr="00B20401">
        <w:rPr>
          <w:sz w:val="20"/>
        </w:rPr>
        <w:t>Widzialność w dzień</w:t>
      </w:r>
    </w:p>
    <w:p w:rsidR="00A52CC6" w:rsidRDefault="00277913" w:rsidP="001955B5">
      <w:pPr>
        <w:pStyle w:val="Tekstpodstawowy"/>
      </w:pPr>
      <w:r>
        <w:t>Widzialność oznakowania w dzień jest określona współczynnikiem luminancji β i barwą oznakowania wyrażoną współrzędnymi chromatyczności.</w:t>
      </w:r>
    </w:p>
    <w:p w:rsidR="00A52CC6" w:rsidRDefault="00277913" w:rsidP="001955B5">
      <w:pPr>
        <w:pStyle w:val="Tekstpodstawowy"/>
      </w:pPr>
      <w:r>
        <w:t>Barwa oznakowania powinna być określona wg PN-EN 1436+A1:2008 Materiały do poziomego oznakowania dróg. Wymagania dotyczące poziomych oznakowań dróg, przez współrzędne chromatyczności x i y, które dla suchego oznakowania powinny leżeć w obszarze zdefiniowanym przez cztery punkty narożne podane w tablicy 2.</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95"/>
        <w:gridCol w:w="1792"/>
        <w:gridCol w:w="1796"/>
        <w:gridCol w:w="1792"/>
        <w:gridCol w:w="1796"/>
        <w:gridCol w:w="1861"/>
      </w:tblGrid>
      <w:tr w:rsidR="00A52CC6" w:rsidRPr="00CB529E" w:rsidTr="00CB529E">
        <w:trPr>
          <w:trHeight w:val="333"/>
          <w:jc w:val="center"/>
        </w:trPr>
        <w:tc>
          <w:tcPr>
            <w:tcW w:w="1656" w:type="pct"/>
            <w:gridSpan w:val="2"/>
            <w:vAlign w:val="center"/>
          </w:tcPr>
          <w:p w:rsidR="00A52CC6" w:rsidRPr="00CB529E" w:rsidRDefault="00277913" w:rsidP="00CB529E">
            <w:pPr>
              <w:pStyle w:val="TableParagraph"/>
              <w:jc w:val="center"/>
              <w:rPr>
                <w:sz w:val="18"/>
                <w:szCs w:val="18"/>
              </w:rPr>
            </w:pPr>
            <w:r w:rsidRPr="00CB529E">
              <w:rPr>
                <w:sz w:val="18"/>
                <w:szCs w:val="18"/>
              </w:rPr>
              <w:t>Punkt narożny nr</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1</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2</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3</w:t>
            </w:r>
          </w:p>
        </w:tc>
        <w:tc>
          <w:tcPr>
            <w:tcW w:w="860" w:type="pct"/>
            <w:vAlign w:val="center"/>
          </w:tcPr>
          <w:p w:rsidR="00A52CC6" w:rsidRPr="00CB529E" w:rsidRDefault="00277913" w:rsidP="00CB529E">
            <w:pPr>
              <w:pStyle w:val="TableParagraph"/>
              <w:jc w:val="center"/>
              <w:rPr>
                <w:sz w:val="18"/>
                <w:szCs w:val="18"/>
              </w:rPr>
            </w:pPr>
            <w:r w:rsidRPr="00CB529E">
              <w:rPr>
                <w:sz w:val="18"/>
                <w:szCs w:val="18"/>
              </w:rPr>
              <w:t>4</w:t>
            </w:r>
          </w:p>
        </w:tc>
      </w:tr>
      <w:tr w:rsidR="00A52CC6" w:rsidRPr="00CB529E" w:rsidTr="00CB529E">
        <w:trPr>
          <w:trHeight w:val="322"/>
          <w:jc w:val="center"/>
        </w:trPr>
        <w:tc>
          <w:tcPr>
            <w:tcW w:w="829" w:type="pct"/>
            <w:vMerge w:val="restart"/>
            <w:vAlign w:val="center"/>
          </w:tcPr>
          <w:p w:rsidR="00A52CC6" w:rsidRPr="00CB529E" w:rsidRDefault="00277913" w:rsidP="00CB529E">
            <w:pPr>
              <w:pStyle w:val="TableParagraph"/>
              <w:jc w:val="center"/>
              <w:rPr>
                <w:sz w:val="18"/>
                <w:szCs w:val="18"/>
              </w:rPr>
            </w:pPr>
            <w:r w:rsidRPr="00CB529E">
              <w:rPr>
                <w:sz w:val="18"/>
                <w:szCs w:val="18"/>
              </w:rPr>
              <w:t>Oznakowanie białe</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x</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0,355</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0,305</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0,285</w:t>
            </w:r>
          </w:p>
        </w:tc>
        <w:tc>
          <w:tcPr>
            <w:tcW w:w="860" w:type="pct"/>
            <w:vAlign w:val="center"/>
          </w:tcPr>
          <w:p w:rsidR="00A52CC6" w:rsidRPr="00CB529E" w:rsidRDefault="00277913" w:rsidP="00CB529E">
            <w:pPr>
              <w:pStyle w:val="TableParagraph"/>
              <w:jc w:val="center"/>
              <w:rPr>
                <w:sz w:val="18"/>
                <w:szCs w:val="18"/>
              </w:rPr>
            </w:pPr>
            <w:r w:rsidRPr="00CB529E">
              <w:rPr>
                <w:sz w:val="18"/>
                <w:szCs w:val="18"/>
              </w:rPr>
              <w:t>0,335</w:t>
            </w:r>
          </w:p>
        </w:tc>
      </w:tr>
      <w:tr w:rsidR="00A52CC6" w:rsidRPr="00CB529E" w:rsidTr="00CB529E">
        <w:trPr>
          <w:trHeight w:val="323"/>
          <w:jc w:val="center"/>
        </w:trPr>
        <w:tc>
          <w:tcPr>
            <w:tcW w:w="829" w:type="pct"/>
            <w:vMerge/>
            <w:tcBorders>
              <w:top w:val="nil"/>
            </w:tcBorders>
            <w:vAlign w:val="center"/>
          </w:tcPr>
          <w:p w:rsidR="00A52CC6" w:rsidRPr="00CB529E" w:rsidRDefault="00A52CC6" w:rsidP="00CB529E">
            <w:pPr>
              <w:jc w:val="center"/>
              <w:rPr>
                <w:sz w:val="18"/>
                <w:szCs w:val="18"/>
              </w:rPr>
            </w:pPr>
          </w:p>
        </w:tc>
        <w:tc>
          <w:tcPr>
            <w:tcW w:w="827" w:type="pct"/>
            <w:vAlign w:val="center"/>
          </w:tcPr>
          <w:p w:rsidR="00A52CC6" w:rsidRPr="00CB529E" w:rsidRDefault="00277913" w:rsidP="00CB529E">
            <w:pPr>
              <w:pStyle w:val="TableParagraph"/>
              <w:jc w:val="center"/>
              <w:rPr>
                <w:sz w:val="18"/>
                <w:szCs w:val="18"/>
              </w:rPr>
            </w:pPr>
            <w:r w:rsidRPr="00CB529E">
              <w:rPr>
                <w:sz w:val="18"/>
                <w:szCs w:val="18"/>
              </w:rPr>
              <w:t>y</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0,355</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0,305</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0,325</w:t>
            </w:r>
          </w:p>
        </w:tc>
        <w:tc>
          <w:tcPr>
            <w:tcW w:w="860" w:type="pct"/>
            <w:vAlign w:val="center"/>
          </w:tcPr>
          <w:p w:rsidR="00A52CC6" w:rsidRPr="00CB529E" w:rsidRDefault="00277913" w:rsidP="00CB529E">
            <w:pPr>
              <w:pStyle w:val="TableParagraph"/>
              <w:jc w:val="center"/>
              <w:rPr>
                <w:sz w:val="18"/>
                <w:szCs w:val="18"/>
              </w:rPr>
            </w:pPr>
            <w:r w:rsidRPr="00CB529E">
              <w:rPr>
                <w:sz w:val="18"/>
                <w:szCs w:val="18"/>
              </w:rPr>
              <w:t>0,375</w:t>
            </w:r>
          </w:p>
        </w:tc>
      </w:tr>
      <w:tr w:rsidR="00A52CC6" w:rsidRPr="00CB529E" w:rsidTr="00CB529E">
        <w:trPr>
          <w:trHeight w:val="322"/>
          <w:jc w:val="center"/>
        </w:trPr>
        <w:tc>
          <w:tcPr>
            <w:tcW w:w="829" w:type="pct"/>
            <w:vMerge w:val="restart"/>
            <w:vAlign w:val="center"/>
          </w:tcPr>
          <w:p w:rsidR="00A52CC6" w:rsidRPr="00CB529E" w:rsidRDefault="00277913" w:rsidP="00CB529E">
            <w:pPr>
              <w:pStyle w:val="TableParagraph"/>
              <w:jc w:val="center"/>
              <w:rPr>
                <w:sz w:val="18"/>
                <w:szCs w:val="18"/>
              </w:rPr>
            </w:pPr>
            <w:r w:rsidRPr="00CB529E">
              <w:rPr>
                <w:sz w:val="18"/>
                <w:szCs w:val="18"/>
              </w:rPr>
              <w:t>Oznakowanie żółte klasa Y1</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x</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0,433</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0,545</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0,465</w:t>
            </w:r>
          </w:p>
        </w:tc>
        <w:tc>
          <w:tcPr>
            <w:tcW w:w="860" w:type="pct"/>
            <w:vAlign w:val="center"/>
          </w:tcPr>
          <w:p w:rsidR="00A52CC6" w:rsidRPr="00CB529E" w:rsidRDefault="00277913" w:rsidP="00CB529E">
            <w:pPr>
              <w:pStyle w:val="TableParagraph"/>
              <w:jc w:val="center"/>
              <w:rPr>
                <w:sz w:val="18"/>
                <w:szCs w:val="18"/>
              </w:rPr>
            </w:pPr>
            <w:r w:rsidRPr="00CB529E">
              <w:rPr>
                <w:sz w:val="18"/>
                <w:szCs w:val="18"/>
              </w:rPr>
              <w:t>0,389</w:t>
            </w:r>
          </w:p>
        </w:tc>
      </w:tr>
      <w:tr w:rsidR="00A52CC6" w:rsidRPr="00CB529E" w:rsidTr="00CB529E">
        <w:trPr>
          <w:trHeight w:val="323"/>
          <w:jc w:val="center"/>
        </w:trPr>
        <w:tc>
          <w:tcPr>
            <w:tcW w:w="829" w:type="pct"/>
            <w:vMerge/>
            <w:tcBorders>
              <w:top w:val="nil"/>
            </w:tcBorders>
            <w:vAlign w:val="center"/>
          </w:tcPr>
          <w:p w:rsidR="00A52CC6" w:rsidRPr="00CB529E" w:rsidRDefault="00A52CC6" w:rsidP="00CB529E">
            <w:pPr>
              <w:jc w:val="center"/>
              <w:rPr>
                <w:sz w:val="18"/>
                <w:szCs w:val="18"/>
              </w:rPr>
            </w:pPr>
          </w:p>
        </w:tc>
        <w:tc>
          <w:tcPr>
            <w:tcW w:w="827" w:type="pct"/>
            <w:vAlign w:val="center"/>
          </w:tcPr>
          <w:p w:rsidR="00A52CC6" w:rsidRPr="00CB529E" w:rsidRDefault="00277913" w:rsidP="00CB529E">
            <w:pPr>
              <w:pStyle w:val="TableParagraph"/>
              <w:jc w:val="center"/>
              <w:rPr>
                <w:sz w:val="18"/>
                <w:szCs w:val="18"/>
              </w:rPr>
            </w:pPr>
            <w:r w:rsidRPr="00CB529E">
              <w:rPr>
                <w:sz w:val="18"/>
                <w:szCs w:val="18"/>
              </w:rPr>
              <w:t>y</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0,399</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0,455</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0,535</w:t>
            </w:r>
          </w:p>
        </w:tc>
        <w:tc>
          <w:tcPr>
            <w:tcW w:w="860" w:type="pct"/>
            <w:vAlign w:val="center"/>
          </w:tcPr>
          <w:p w:rsidR="00A52CC6" w:rsidRPr="00CB529E" w:rsidRDefault="00277913" w:rsidP="00CB529E">
            <w:pPr>
              <w:pStyle w:val="TableParagraph"/>
              <w:jc w:val="center"/>
              <w:rPr>
                <w:sz w:val="18"/>
                <w:szCs w:val="18"/>
              </w:rPr>
            </w:pPr>
            <w:r w:rsidRPr="00CB529E">
              <w:rPr>
                <w:sz w:val="18"/>
                <w:szCs w:val="18"/>
              </w:rPr>
              <w:t>0,431</w:t>
            </w:r>
          </w:p>
        </w:tc>
      </w:tr>
      <w:tr w:rsidR="00A52CC6" w:rsidRPr="00CB529E" w:rsidTr="00CB529E">
        <w:trPr>
          <w:trHeight w:val="321"/>
          <w:jc w:val="center"/>
        </w:trPr>
        <w:tc>
          <w:tcPr>
            <w:tcW w:w="829" w:type="pct"/>
            <w:vMerge w:val="restart"/>
            <w:vAlign w:val="center"/>
          </w:tcPr>
          <w:p w:rsidR="00A52CC6" w:rsidRPr="00CB529E" w:rsidRDefault="00277913" w:rsidP="00CB529E">
            <w:pPr>
              <w:pStyle w:val="TableParagraph"/>
              <w:jc w:val="center"/>
              <w:rPr>
                <w:sz w:val="18"/>
                <w:szCs w:val="18"/>
              </w:rPr>
            </w:pPr>
            <w:r w:rsidRPr="00CB529E">
              <w:rPr>
                <w:sz w:val="18"/>
                <w:szCs w:val="18"/>
              </w:rPr>
              <w:t>Oznakowanie żółte klasa Y2</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x</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0,494</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0,545</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0,465</w:t>
            </w:r>
          </w:p>
        </w:tc>
        <w:tc>
          <w:tcPr>
            <w:tcW w:w="860" w:type="pct"/>
            <w:vAlign w:val="center"/>
          </w:tcPr>
          <w:p w:rsidR="00A52CC6" w:rsidRPr="00CB529E" w:rsidRDefault="00277913" w:rsidP="00CB529E">
            <w:pPr>
              <w:pStyle w:val="TableParagraph"/>
              <w:jc w:val="center"/>
              <w:rPr>
                <w:sz w:val="18"/>
                <w:szCs w:val="18"/>
              </w:rPr>
            </w:pPr>
            <w:r w:rsidRPr="00CB529E">
              <w:rPr>
                <w:sz w:val="18"/>
                <w:szCs w:val="18"/>
              </w:rPr>
              <w:t>0,427</w:t>
            </w:r>
          </w:p>
        </w:tc>
      </w:tr>
      <w:tr w:rsidR="00A52CC6" w:rsidRPr="00CB529E" w:rsidTr="00CB529E">
        <w:trPr>
          <w:trHeight w:val="323"/>
          <w:jc w:val="center"/>
        </w:trPr>
        <w:tc>
          <w:tcPr>
            <w:tcW w:w="829" w:type="pct"/>
            <w:vMerge/>
            <w:tcBorders>
              <w:top w:val="nil"/>
            </w:tcBorders>
            <w:vAlign w:val="center"/>
          </w:tcPr>
          <w:p w:rsidR="00A52CC6" w:rsidRPr="00CB529E" w:rsidRDefault="00A52CC6" w:rsidP="00CB529E">
            <w:pPr>
              <w:jc w:val="center"/>
              <w:rPr>
                <w:sz w:val="18"/>
                <w:szCs w:val="18"/>
              </w:rPr>
            </w:pPr>
          </w:p>
        </w:tc>
        <w:tc>
          <w:tcPr>
            <w:tcW w:w="827" w:type="pct"/>
            <w:vAlign w:val="center"/>
          </w:tcPr>
          <w:p w:rsidR="00A52CC6" w:rsidRPr="00CB529E" w:rsidRDefault="00277913" w:rsidP="00CB529E">
            <w:pPr>
              <w:pStyle w:val="TableParagraph"/>
              <w:jc w:val="center"/>
              <w:rPr>
                <w:sz w:val="18"/>
                <w:szCs w:val="18"/>
              </w:rPr>
            </w:pPr>
            <w:r w:rsidRPr="00CB529E">
              <w:rPr>
                <w:sz w:val="18"/>
                <w:szCs w:val="18"/>
              </w:rPr>
              <w:t>y</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0,427</w:t>
            </w:r>
          </w:p>
        </w:tc>
        <w:tc>
          <w:tcPr>
            <w:tcW w:w="827" w:type="pct"/>
            <w:vAlign w:val="center"/>
          </w:tcPr>
          <w:p w:rsidR="00A52CC6" w:rsidRPr="00CB529E" w:rsidRDefault="00277913" w:rsidP="00CB529E">
            <w:pPr>
              <w:pStyle w:val="TableParagraph"/>
              <w:jc w:val="center"/>
              <w:rPr>
                <w:sz w:val="18"/>
                <w:szCs w:val="18"/>
              </w:rPr>
            </w:pPr>
            <w:r w:rsidRPr="00CB529E">
              <w:rPr>
                <w:sz w:val="18"/>
                <w:szCs w:val="18"/>
              </w:rPr>
              <w:t>0,455</w:t>
            </w:r>
          </w:p>
        </w:tc>
        <w:tc>
          <w:tcPr>
            <w:tcW w:w="829" w:type="pct"/>
            <w:vAlign w:val="center"/>
          </w:tcPr>
          <w:p w:rsidR="00A52CC6" w:rsidRPr="00CB529E" w:rsidRDefault="00277913" w:rsidP="00CB529E">
            <w:pPr>
              <w:pStyle w:val="TableParagraph"/>
              <w:jc w:val="center"/>
              <w:rPr>
                <w:sz w:val="18"/>
                <w:szCs w:val="18"/>
              </w:rPr>
            </w:pPr>
            <w:r w:rsidRPr="00CB529E">
              <w:rPr>
                <w:sz w:val="18"/>
                <w:szCs w:val="18"/>
              </w:rPr>
              <w:t>0,535</w:t>
            </w:r>
          </w:p>
        </w:tc>
        <w:tc>
          <w:tcPr>
            <w:tcW w:w="860" w:type="pct"/>
            <w:vAlign w:val="center"/>
          </w:tcPr>
          <w:p w:rsidR="00A52CC6" w:rsidRPr="00CB529E" w:rsidRDefault="00277913" w:rsidP="00CB529E">
            <w:pPr>
              <w:pStyle w:val="TableParagraph"/>
              <w:jc w:val="center"/>
              <w:rPr>
                <w:sz w:val="18"/>
                <w:szCs w:val="18"/>
              </w:rPr>
            </w:pPr>
            <w:r w:rsidRPr="00CB529E">
              <w:rPr>
                <w:sz w:val="18"/>
                <w:szCs w:val="18"/>
              </w:rPr>
              <w:t>0,483</w:t>
            </w:r>
          </w:p>
        </w:tc>
      </w:tr>
    </w:tbl>
    <w:p w:rsidR="00A52CC6" w:rsidRDefault="00277913" w:rsidP="001955B5">
      <w:pPr>
        <w:pStyle w:val="Tekstpodstawowy"/>
      </w:pPr>
      <w:r>
        <w:t>Pomiar współczynnika luminancji b może być zastąpiony pomiarem współczynnika luminancji w świetle rozproszonym Qd, wg PN-EN 1436.</w:t>
      </w:r>
    </w:p>
    <w:p w:rsidR="00A52CC6" w:rsidRDefault="00277913" w:rsidP="001955B5">
      <w:pPr>
        <w:pStyle w:val="Tekstpodstawowy"/>
      </w:pPr>
      <w:r>
        <w:t>Wymagania dla widzialności w dzień podano w tablicy 3 lub tablicy 4 w zależności o prędkości ruchu na drodze.</w:t>
      </w:r>
    </w:p>
    <w:p w:rsidR="00A52CC6" w:rsidRPr="00B20401" w:rsidRDefault="00277913" w:rsidP="00EA0247">
      <w:pPr>
        <w:pStyle w:val="Nagwek1"/>
        <w:numPr>
          <w:ilvl w:val="3"/>
          <w:numId w:val="24"/>
        </w:numPr>
        <w:spacing w:before="120" w:after="120"/>
        <w:ind w:left="0" w:firstLine="0"/>
        <w:rPr>
          <w:sz w:val="20"/>
        </w:rPr>
      </w:pPr>
      <w:r w:rsidRPr="00B20401">
        <w:rPr>
          <w:sz w:val="20"/>
        </w:rPr>
        <w:t>Widzialność w nocy</w:t>
      </w:r>
    </w:p>
    <w:p w:rsidR="00A52CC6" w:rsidRDefault="00277913" w:rsidP="001955B5">
      <w:pPr>
        <w:pStyle w:val="Tekstpodstawowy"/>
      </w:pPr>
      <w:r>
        <w:t>Za miarę widzialności w nocy przyjęto powierzchniowy współczynnik odblasku R</w:t>
      </w:r>
      <w:r>
        <w:rPr>
          <w:sz w:val="11"/>
        </w:rPr>
        <w:t>L</w:t>
      </w:r>
      <w:r>
        <w:t>, określany według PN-EN 1436+A1:2008 Materiały do poziomego oznakowania dróg. Wymagania dotyczące poziomych oznakowań dróg.</w:t>
      </w:r>
    </w:p>
    <w:p w:rsidR="00A52CC6" w:rsidRDefault="00277913" w:rsidP="001955B5">
      <w:pPr>
        <w:pStyle w:val="Tekstpodstawowy"/>
      </w:pPr>
      <w:r>
        <w:t>Wymagania dla widzialności w nocy podano w tablicy 3 lub tablicy 4 w zależności o prędkości ruchu na drodze. Powyższe wymaganie dotyczy jedynie oznakowań profilowanych, takich jak oznakowanie strukturalne wykonywane masami termoplastycznymi, masami chemoutwardzalnymi i taśmami w postaci np. poprzecznych wygarbień (baretek), drop-on-line, itp. Wykonywanie pomiarów na oznakowaniu ciągłym z naniesionymi wygarbieniami może być wykonywane tylko metoda dynamiczną. Pomiar aparatami ręcznymi jest albo niemożliwy albo obciążony dużym błędem.</w:t>
      </w:r>
      <w:r>
        <w:rPr>
          <w:spacing w:val="-7"/>
        </w:rPr>
        <w:t xml:space="preserve"> </w:t>
      </w:r>
      <w:r>
        <w:t>Wykonywanie</w:t>
      </w:r>
      <w:r>
        <w:rPr>
          <w:spacing w:val="-4"/>
        </w:rPr>
        <w:t xml:space="preserve"> </w:t>
      </w:r>
      <w:r>
        <w:t>pomiarów</w:t>
      </w:r>
      <w:r>
        <w:rPr>
          <w:spacing w:val="-5"/>
        </w:rPr>
        <w:t xml:space="preserve"> </w:t>
      </w:r>
      <w:r>
        <w:t>odblaskowości</w:t>
      </w:r>
      <w:r>
        <w:rPr>
          <w:spacing w:val="-4"/>
        </w:rPr>
        <w:t xml:space="preserve"> </w:t>
      </w:r>
      <w:r>
        <w:t>na</w:t>
      </w:r>
      <w:r>
        <w:rPr>
          <w:spacing w:val="-4"/>
        </w:rPr>
        <w:t xml:space="preserve"> </w:t>
      </w:r>
      <w:r>
        <w:t>pozostałych</w:t>
      </w:r>
      <w:r>
        <w:rPr>
          <w:spacing w:val="-5"/>
        </w:rPr>
        <w:t xml:space="preserve"> </w:t>
      </w:r>
      <w:r>
        <w:t>typach</w:t>
      </w:r>
      <w:r>
        <w:rPr>
          <w:spacing w:val="-5"/>
        </w:rPr>
        <w:t xml:space="preserve"> </w:t>
      </w:r>
      <w:r>
        <w:t>oznakowania</w:t>
      </w:r>
      <w:r>
        <w:rPr>
          <w:spacing w:val="-5"/>
        </w:rPr>
        <w:t xml:space="preserve"> </w:t>
      </w:r>
      <w:r>
        <w:t>strukturalnego,</w:t>
      </w:r>
      <w:r>
        <w:rPr>
          <w:spacing w:val="-7"/>
        </w:rPr>
        <w:t xml:space="preserve"> </w:t>
      </w:r>
      <w:r>
        <w:t>z</w:t>
      </w:r>
      <w:r>
        <w:rPr>
          <w:spacing w:val="-1"/>
        </w:rPr>
        <w:t xml:space="preserve"> </w:t>
      </w:r>
      <w:r>
        <w:t>uwagi</w:t>
      </w:r>
      <w:r>
        <w:rPr>
          <w:spacing w:val="-4"/>
        </w:rPr>
        <w:t xml:space="preserve"> </w:t>
      </w:r>
      <w:r>
        <w:t>na</w:t>
      </w:r>
      <w:r>
        <w:rPr>
          <w:spacing w:val="-2"/>
        </w:rPr>
        <w:t xml:space="preserve"> </w:t>
      </w:r>
      <w:r>
        <w:t>jego niecałkowite i niejednorodne pokrycie powierzchni oznakowania, jest obarczone większym błędem niż na oznakowaniach pełnych. Dlatego podczas odbioru czy kontroli, należy przyjąć jako dopuszczalne wartości współczynnika odblasku o 20 % niższe od przyjętych w</w:t>
      </w:r>
      <w:r>
        <w:rPr>
          <w:spacing w:val="-7"/>
        </w:rPr>
        <w:t xml:space="preserve"> </w:t>
      </w:r>
      <w:r>
        <w:t>SST.</w:t>
      </w:r>
    </w:p>
    <w:p w:rsidR="00A52CC6" w:rsidRPr="00B20401" w:rsidRDefault="00277913" w:rsidP="00EA0247">
      <w:pPr>
        <w:pStyle w:val="Nagwek1"/>
        <w:numPr>
          <w:ilvl w:val="3"/>
          <w:numId w:val="24"/>
        </w:numPr>
        <w:spacing w:before="120" w:after="120"/>
        <w:ind w:left="0" w:firstLine="0"/>
        <w:rPr>
          <w:sz w:val="20"/>
        </w:rPr>
      </w:pPr>
      <w:r w:rsidRPr="00B20401">
        <w:rPr>
          <w:sz w:val="20"/>
        </w:rPr>
        <w:t>Szorstkość oznakowania</w:t>
      </w:r>
    </w:p>
    <w:p w:rsidR="00A52CC6" w:rsidRDefault="00277913" w:rsidP="001955B5">
      <w:pPr>
        <w:pStyle w:val="Tekstpodstawowy"/>
      </w:pPr>
      <w:r>
        <w:t>Miarą szorstkości oznakowania jest wartość wskaźnika szorstkości SRT (Skid Resistance Tester) mierzona wahadłem angielskim, wg PN-EN 1436+A1:2008 Materiały do poziomego oznakowania dróg. Wymagania dotyczące poziomych oznakowań dróg. Wartość SRT symuluje warunki, w których pojazd wyposażony w typowe opony hamuje z blokadą kół przy prędkości 50 km/h na mokrej nawierzchni.</w:t>
      </w:r>
    </w:p>
    <w:p w:rsidR="00A52CC6" w:rsidRDefault="00277913" w:rsidP="001955B5">
      <w:pPr>
        <w:pStyle w:val="Tekstpodstawowy"/>
      </w:pPr>
      <w:r>
        <w:t>Wymaga się, aby wartość wskaźnika szorstkości SRT wynosiła na oznakowaniu w ciągu całego okresu użytkowania, co najmniej 45 (klasa S1).</w:t>
      </w:r>
    </w:p>
    <w:p w:rsidR="00A52CC6" w:rsidRDefault="00277913" w:rsidP="001955B5">
      <w:pPr>
        <w:pStyle w:val="Tekstpodstawowy"/>
      </w:pPr>
      <w:r>
        <w:lastRenderedPageBreak/>
        <w:t>Wykonywanie pomiarów wskaźnika szorstkości SRT dotyczy oznakowań jednolitych, płaskich, wykonanych farbami, masami termoplastycznymi, masami chemoutwardzalnymi i taśmami. Pomiar na oznakowaniu strukturalnym jest niemiarodajny. W przypadku oznakowania z wygarbieniami i punktowymi elementami odblaskowymi pomiar nie jest możliwy.</w:t>
      </w:r>
    </w:p>
    <w:p w:rsidR="00A52CC6" w:rsidRPr="00B20401" w:rsidRDefault="00277913" w:rsidP="00EA0247">
      <w:pPr>
        <w:pStyle w:val="Nagwek1"/>
        <w:numPr>
          <w:ilvl w:val="3"/>
          <w:numId w:val="24"/>
        </w:numPr>
        <w:spacing w:before="120" w:after="120"/>
        <w:ind w:left="0" w:firstLine="0"/>
        <w:rPr>
          <w:sz w:val="20"/>
        </w:rPr>
      </w:pPr>
      <w:r w:rsidRPr="00B20401">
        <w:rPr>
          <w:sz w:val="20"/>
        </w:rPr>
        <w:t>Trwałość oznakowania</w:t>
      </w:r>
    </w:p>
    <w:p w:rsidR="00A52CC6" w:rsidRDefault="00277913" w:rsidP="001955B5">
      <w:pPr>
        <w:pStyle w:val="Tekstpodstawowy"/>
      </w:pPr>
      <w:r>
        <w:t xml:space="preserve">Trwałość oznakowania cienkowarstwowego oceniana jako stopień </w:t>
      </w:r>
      <w:r w:rsidR="00643511">
        <w:t>zużycia w</w:t>
      </w:r>
      <w:r>
        <w:t xml:space="preserve"> 10-stopniowej skali </w:t>
      </w:r>
      <w:r w:rsidR="00643511">
        <w:t>LCPC określonej</w:t>
      </w:r>
      <w:r>
        <w:t xml:space="preserve"> w POD – 97 Warunki Techniczne. Poziome znakowanie dróg, Seria I, Zeszyt 55, IBDiM, 1997 r. powinna wynosić po 12-miesięcznym okresie eksploatacji oznakowania: co najmniej</w:t>
      </w:r>
      <w:r>
        <w:rPr>
          <w:spacing w:val="-3"/>
        </w:rPr>
        <w:t xml:space="preserve"> </w:t>
      </w:r>
      <w:r>
        <w:t>6.</w:t>
      </w:r>
    </w:p>
    <w:p w:rsidR="00A52CC6" w:rsidRDefault="00277913" w:rsidP="001955B5">
      <w:pPr>
        <w:pStyle w:val="Tekstpodstawowy"/>
      </w:pPr>
      <w:r>
        <w:t xml:space="preserve">W stosunku do materiałów grubowarstwowych i taśm ocena ta jest stosowana dopiero po 2, 3, 4, 5 i 6 latach, </w:t>
      </w:r>
      <w:r w:rsidR="00643511">
        <w:t>gdy w</w:t>
      </w:r>
      <w:r>
        <w:t xml:space="preserve"> oznakowaniu pojawiają się przetarcia do nawierzchni. Do oceny materiałów strukturalnych, o nieciągłym pokryciu nawierzchni metody tej nie stosuje się. W celach kontrolnych trwałość jest oceniana pośrednio przez sprawdzenie spełniania wymagań widoczności w dzień, w nocy i</w:t>
      </w:r>
      <w:r>
        <w:rPr>
          <w:spacing w:val="-8"/>
        </w:rPr>
        <w:t xml:space="preserve"> </w:t>
      </w:r>
      <w:r>
        <w:t>szorstkości.</w:t>
      </w:r>
    </w:p>
    <w:p w:rsidR="00A52CC6" w:rsidRPr="00B20401" w:rsidRDefault="00277913" w:rsidP="00EA0247">
      <w:pPr>
        <w:pStyle w:val="Nagwek1"/>
        <w:numPr>
          <w:ilvl w:val="3"/>
          <w:numId w:val="24"/>
        </w:numPr>
        <w:spacing w:before="120" w:after="120"/>
        <w:ind w:left="0" w:firstLine="0"/>
        <w:rPr>
          <w:sz w:val="20"/>
        </w:rPr>
      </w:pPr>
      <w:r w:rsidRPr="00B20401">
        <w:rPr>
          <w:sz w:val="20"/>
        </w:rPr>
        <w:t>Czas schnięcia oznakowania (względnie czas do przejezdności oznakowania)</w:t>
      </w:r>
    </w:p>
    <w:p w:rsidR="00A52CC6" w:rsidRDefault="00277913" w:rsidP="001955B5">
      <w:pPr>
        <w:pStyle w:val="Tekstpodstawowy"/>
      </w:pPr>
      <w:r>
        <w:t>Za czas schnięcia oznakowania przyjmuje się czas upływający między wykonaniem oznakowania a jego oddaniem do</w:t>
      </w:r>
      <w:r>
        <w:rPr>
          <w:spacing w:val="-2"/>
        </w:rPr>
        <w:t xml:space="preserve"> </w:t>
      </w:r>
      <w:r>
        <w:t>ruchu.</w:t>
      </w:r>
      <w:r>
        <w:rPr>
          <w:spacing w:val="-3"/>
        </w:rPr>
        <w:t xml:space="preserve"> </w:t>
      </w:r>
      <w:r>
        <w:t>Czas</w:t>
      </w:r>
      <w:r>
        <w:rPr>
          <w:spacing w:val="-7"/>
        </w:rPr>
        <w:t xml:space="preserve"> </w:t>
      </w:r>
      <w:r>
        <w:t>schnięcia</w:t>
      </w:r>
      <w:r>
        <w:rPr>
          <w:spacing w:val="-6"/>
        </w:rPr>
        <w:t xml:space="preserve"> </w:t>
      </w:r>
      <w:r>
        <w:t>oznakowania</w:t>
      </w:r>
      <w:r>
        <w:rPr>
          <w:spacing w:val="-8"/>
        </w:rPr>
        <w:t xml:space="preserve"> </w:t>
      </w:r>
      <w:r>
        <w:t>nie</w:t>
      </w:r>
      <w:r>
        <w:rPr>
          <w:spacing w:val="-3"/>
        </w:rPr>
        <w:t xml:space="preserve"> </w:t>
      </w:r>
      <w:r>
        <w:t>powinien</w:t>
      </w:r>
      <w:r>
        <w:rPr>
          <w:spacing w:val="-6"/>
        </w:rPr>
        <w:t xml:space="preserve"> </w:t>
      </w:r>
      <w:r>
        <w:t>przekraczać</w:t>
      </w:r>
      <w:r>
        <w:rPr>
          <w:spacing w:val="-4"/>
        </w:rPr>
        <w:t xml:space="preserve"> </w:t>
      </w:r>
      <w:r>
        <w:t>czasu</w:t>
      </w:r>
      <w:r>
        <w:rPr>
          <w:spacing w:val="-4"/>
        </w:rPr>
        <w:t xml:space="preserve"> </w:t>
      </w:r>
      <w:r>
        <w:t>gwarantowanego</w:t>
      </w:r>
      <w:r>
        <w:rPr>
          <w:spacing w:val="-5"/>
        </w:rPr>
        <w:t xml:space="preserve"> </w:t>
      </w:r>
      <w:r>
        <w:t>przez</w:t>
      </w:r>
      <w:r>
        <w:rPr>
          <w:spacing w:val="-3"/>
        </w:rPr>
        <w:t xml:space="preserve"> </w:t>
      </w:r>
      <w:r>
        <w:t>producenta,</w:t>
      </w:r>
      <w:r>
        <w:rPr>
          <w:spacing w:val="-4"/>
        </w:rPr>
        <w:t xml:space="preserve"> </w:t>
      </w:r>
      <w:r>
        <w:t>z</w:t>
      </w:r>
      <w:r>
        <w:rPr>
          <w:spacing w:val="-3"/>
        </w:rPr>
        <w:t xml:space="preserve"> </w:t>
      </w:r>
      <w:r>
        <w:t>tym</w:t>
      </w:r>
      <w:r>
        <w:rPr>
          <w:spacing w:val="-6"/>
        </w:rPr>
        <w:t xml:space="preserve"> </w:t>
      </w:r>
      <w:r>
        <w:t>że nie może przekraczać 2 godzin w przypadku wymalowań nocnych i 1 godziny w przypadku wymalowań dziennych. Metoda</w:t>
      </w:r>
      <w:r>
        <w:rPr>
          <w:spacing w:val="-3"/>
        </w:rPr>
        <w:t xml:space="preserve"> </w:t>
      </w:r>
      <w:r>
        <w:t>oznaczenia</w:t>
      </w:r>
      <w:r>
        <w:rPr>
          <w:spacing w:val="-5"/>
        </w:rPr>
        <w:t xml:space="preserve"> </w:t>
      </w:r>
      <w:r>
        <w:t>czasu</w:t>
      </w:r>
      <w:r>
        <w:rPr>
          <w:spacing w:val="-3"/>
        </w:rPr>
        <w:t xml:space="preserve"> </w:t>
      </w:r>
      <w:r>
        <w:t>schnięcia</w:t>
      </w:r>
      <w:r>
        <w:rPr>
          <w:spacing w:val="-5"/>
        </w:rPr>
        <w:t xml:space="preserve"> </w:t>
      </w:r>
      <w:r>
        <w:t>znajduje</w:t>
      </w:r>
      <w:r>
        <w:rPr>
          <w:spacing w:val="-2"/>
        </w:rPr>
        <w:t xml:space="preserve"> </w:t>
      </w:r>
      <w:r>
        <w:t>się</w:t>
      </w:r>
      <w:r>
        <w:rPr>
          <w:spacing w:val="-2"/>
        </w:rPr>
        <w:t xml:space="preserve"> </w:t>
      </w:r>
      <w:r>
        <w:t>w</w:t>
      </w:r>
      <w:r>
        <w:rPr>
          <w:spacing w:val="-5"/>
        </w:rPr>
        <w:t xml:space="preserve"> </w:t>
      </w:r>
      <w:r>
        <w:t>POD</w:t>
      </w:r>
      <w:r>
        <w:rPr>
          <w:spacing w:val="-5"/>
        </w:rPr>
        <w:t xml:space="preserve"> </w:t>
      </w:r>
      <w:r>
        <w:t>– 97</w:t>
      </w:r>
      <w:r>
        <w:rPr>
          <w:spacing w:val="-2"/>
        </w:rPr>
        <w:t xml:space="preserve"> </w:t>
      </w:r>
      <w:r>
        <w:t>Warunki</w:t>
      </w:r>
      <w:r>
        <w:rPr>
          <w:spacing w:val="-6"/>
        </w:rPr>
        <w:t xml:space="preserve"> </w:t>
      </w:r>
      <w:r>
        <w:t>Techniczne.</w:t>
      </w:r>
      <w:r>
        <w:rPr>
          <w:spacing w:val="1"/>
        </w:rPr>
        <w:t xml:space="preserve"> </w:t>
      </w:r>
      <w:r>
        <w:t>Poziome</w:t>
      </w:r>
      <w:r>
        <w:rPr>
          <w:spacing w:val="-3"/>
        </w:rPr>
        <w:t xml:space="preserve"> </w:t>
      </w:r>
      <w:r>
        <w:t>znakowanie</w:t>
      </w:r>
      <w:r>
        <w:rPr>
          <w:spacing w:val="-1"/>
        </w:rPr>
        <w:t xml:space="preserve"> </w:t>
      </w:r>
      <w:r>
        <w:t>dróg,</w:t>
      </w:r>
      <w:r>
        <w:rPr>
          <w:spacing w:val="-3"/>
        </w:rPr>
        <w:t xml:space="preserve"> </w:t>
      </w:r>
      <w:r>
        <w:t>Seria I, Zeszyt 55, IBDiM, 1997</w:t>
      </w:r>
      <w:r>
        <w:rPr>
          <w:spacing w:val="-6"/>
        </w:rPr>
        <w:t xml:space="preserve"> </w:t>
      </w:r>
      <w:r>
        <w:t>r..</w:t>
      </w:r>
    </w:p>
    <w:p w:rsidR="00A52CC6" w:rsidRPr="00B20401" w:rsidRDefault="00277913" w:rsidP="00EA0247">
      <w:pPr>
        <w:pStyle w:val="Nagwek1"/>
        <w:numPr>
          <w:ilvl w:val="3"/>
          <w:numId w:val="24"/>
        </w:numPr>
        <w:spacing w:before="120" w:after="120"/>
        <w:ind w:left="0" w:firstLine="0"/>
        <w:rPr>
          <w:sz w:val="20"/>
        </w:rPr>
      </w:pPr>
      <w:r w:rsidRPr="00B20401">
        <w:rPr>
          <w:sz w:val="20"/>
        </w:rPr>
        <w:t>Grubość oznakowania</w:t>
      </w:r>
    </w:p>
    <w:p w:rsidR="00A52CC6" w:rsidRDefault="00277913" w:rsidP="001955B5">
      <w:pPr>
        <w:pStyle w:val="Tekstpodstawowy"/>
      </w:pPr>
      <w:r>
        <w:t>Grubość</w:t>
      </w:r>
      <w:r>
        <w:rPr>
          <w:spacing w:val="-7"/>
        </w:rPr>
        <w:t xml:space="preserve"> </w:t>
      </w:r>
      <w:r>
        <w:t>oznakowania,</w:t>
      </w:r>
      <w:r>
        <w:rPr>
          <w:spacing w:val="-6"/>
        </w:rPr>
        <w:t xml:space="preserve"> </w:t>
      </w:r>
      <w:r>
        <w:t>tj.</w:t>
      </w:r>
      <w:r>
        <w:rPr>
          <w:spacing w:val="-6"/>
        </w:rPr>
        <w:t xml:space="preserve"> </w:t>
      </w:r>
      <w:r>
        <w:t>podwyższenie</w:t>
      </w:r>
      <w:r>
        <w:rPr>
          <w:spacing w:val="-6"/>
        </w:rPr>
        <w:t xml:space="preserve"> </w:t>
      </w:r>
      <w:r>
        <w:t>ponad</w:t>
      </w:r>
      <w:r>
        <w:rPr>
          <w:spacing w:val="-5"/>
        </w:rPr>
        <w:t xml:space="preserve"> </w:t>
      </w:r>
      <w:r>
        <w:t>górną</w:t>
      </w:r>
      <w:r>
        <w:rPr>
          <w:spacing w:val="-7"/>
        </w:rPr>
        <w:t xml:space="preserve"> </w:t>
      </w:r>
      <w:r>
        <w:t>powierzchnię</w:t>
      </w:r>
      <w:r>
        <w:rPr>
          <w:spacing w:val="-7"/>
        </w:rPr>
        <w:t xml:space="preserve"> </w:t>
      </w:r>
      <w:r>
        <w:t>nawierzchni,</w:t>
      </w:r>
      <w:r>
        <w:rPr>
          <w:spacing w:val="-9"/>
        </w:rPr>
        <w:t xml:space="preserve"> </w:t>
      </w:r>
      <w:r>
        <w:t>powinna</w:t>
      </w:r>
      <w:r>
        <w:rPr>
          <w:spacing w:val="-9"/>
        </w:rPr>
        <w:t xml:space="preserve"> </w:t>
      </w:r>
      <w:r>
        <w:t>wynosić</w:t>
      </w:r>
      <w:r>
        <w:rPr>
          <w:spacing w:val="-6"/>
        </w:rPr>
        <w:t xml:space="preserve"> </w:t>
      </w:r>
      <w:r>
        <w:t>dla:</w:t>
      </w:r>
    </w:p>
    <w:p w:rsidR="00A52CC6" w:rsidRDefault="00277913" w:rsidP="001955B5">
      <w:pPr>
        <w:pStyle w:val="Tekstpodstawowy"/>
      </w:pPr>
      <w:r>
        <w:t>oznakowania</w:t>
      </w:r>
      <w:r>
        <w:rPr>
          <w:spacing w:val="-8"/>
        </w:rPr>
        <w:t xml:space="preserve"> </w:t>
      </w:r>
      <w:r>
        <w:t>cienkowarstwowego</w:t>
      </w:r>
      <w:r>
        <w:rPr>
          <w:spacing w:val="-5"/>
        </w:rPr>
        <w:t xml:space="preserve"> </w:t>
      </w:r>
      <w:r>
        <w:t>(grubość</w:t>
      </w:r>
      <w:r>
        <w:rPr>
          <w:spacing w:val="-6"/>
        </w:rPr>
        <w:t xml:space="preserve"> </w:t>
      </w:r>
      <w:r>
        <w:t>na</w:t>
      </w:r>
      <w:r>
        <w:rPr>
          <w:spacing w:val="-6"/>
        </w:rPr>
        <w:t xml:space="preserve"> </w:t>
      </w:r>
      <w:r>
        <w:t>mokro</w:t>
      </w:r>
      <w:r>
        <w:rPr>
          <w:spacing w:val="-7"/>
        </w:rPr>
        <w:t xml:space="preserve"> </w:t>
      </w:r>
      <w:r>
        <w:t>bez</w:t>
      </w:r>
      <w:r>
        <w:rPr>
          <w:spacing w:val="-4"/>
        </w:rPr>
        <w:t xml:space="preserve"> </w:t>
      </w:r>
      <w:r>
        <w:t>kulek</w:t>
      </w:r>
      <w:r>
        <w:rPr>
          <w:spacing w:val="-5"/>
        </w:rPr>
        <w:t xml:space="preserve"> </w:t>
      </w:r>
      <w:r>
        <w:t>szklanych),</w:t>
      </w:r>
      <w:r>
        <w:rPr>
          <w:spacing w:val="-8"/>
        </w:rPr>
        <w:t xml:space="preserve"> </w:t>
      </w:r>
      <w:r>
        <w:t>co</w:t>
      </w:r>
      <w:r>
        <w:rPr>
          <w:spacing w:val="-6"/>
        </w:rPr>
        <w:t xml:space="preserve"> </w:t>
      </w:r>
      <w:r>
        <w:t>najwyżej</w:t>
      </w:r>
      <w:r>
        <w:rPr>
          <w:spacing w:val="-9"/>
        </w:rPr>
        <w:t xml:space="preserve"> </w:t>
      </w:r>
      <w:r>
        <w:t>0,89</w:t>
      </w:r>
      <w:r>
        <w:rPr>
          <w:spacing w:val="-5"/>
        </w:rPr>
        <w:t xml:space="preserve"> </w:t>
      </w:r>
      <w:r>
        <w:t>mm,</w:t>
      </w:r>
    </w:p>
    <w:p w:rsidR="00A52CC6" w:rsidRDefault="00277913" w:rsidP="001955B5">
      <w:pPr>
        <w:pStyle w:val="Tekstpodstawowy"/>
      </w:pPr>
      <w:r>
        <w:t>oznakowania grubowarstwowego, co najmniej 0,90 mm i co najwyżej 5 mm, Wymagania</w:t>
      </w:r>
      <w:r>
        <w:rPr>
          <w:spacing w:val="-5"/>
        </w:rPr>
        <w:t xml:space="preserve"> </w:t>
      </w:r>
      <w:r>
        <w:t>te</w:t>
      </w:r>
      <w:r>
        <w:rPr>
          <w:spacing w:val="-5"/>
        </w:rPr>
        <w:t xml:space="preserve"> </w:t>
      </w:r>
      <w:r>
        <w:t>nie</w:t>
      </w:r>
      <w:r>
        <w:rPr>
          <w:spacing w:val="-6"/>
        </w:rPr>
        <w:t xml:space="preserve"> </w:t>
      </w:r>
      <w:r>
        <w:t>obowiązują,</w:t>
      </w:r>
      <w:r>
        <w:rPr>
          <w:spacing w:val="-8"/>
        </w:rPr>
        <w:t xml:space="preserve"> </w:t>
      </w:r>
      <w:r>
        <w:t>jeśli</w:t>
      </w:r>
      <w:r>
        <w:rPr>
          <w:spacing w:val="-7"/>
        </w:rPr>
        <w:t xml:space="preserve"> </w:t>
      </w:r>
      <w:r>
        <w:t>nawierzchnia</w:t>
      </w:r>
      <w:r>
        <w:rPr>
          <w:spacing w:val="-9"/>
        </w:rPr>
        <w:t xml:space="preserve"> </w:t>
      </w:r>
      <w:r>
        <w:t>pod</w:t>
      </w:r>
      <w:r>
        <w:rPr>
          <w:spacing w:val="-9"/>
        </w:rPr>
        <w:t xml:space="preserve"> </w:t>
      </w:r>
      <w:r>
        <w:t>znakowaniem</w:t>
      </w:r>
      <w:r>
        <w:rPr>
          <w:spacing w:val="-5"/>
        </w:rPr>
        <w:t xml:space="preserve"> </w:t>
      </w:r>
      <w:r>
        <w:t>jest</w:t>
      </w:r>
      <w:r>
        <w:rPr>
          <w:spacing w:val="-6"/>
        </w:rPr>
        <w:t xml:space="preserve"> </w:t>
      </w:r>
      <w:r>
        <w:t>wyfrezowana.</w:t>
      </w:r>
    </w:p>
    <w:p w:rsidR="00A52CC6" w:rsidRPr="00B20401" w:rsidRDefault="00277913" w:rsidP="00EA0247">
      <w:pPr>
        <w:pStyle w:val="Nagwek1"/>
        <w:numPr>
          <w:ilvl w:val="2"/>
          <w:numId w:val="24"/>
        </w:numPr>
        <w:spacing w:before="120" w:after="120"/>
        <w:ind w:left="0" w:firstLine="0"/>
        <w:rPr>
          <w:sz w:val="20"/>
        </w:rPr>
      </w:pPr>
      <w:r w:rsidRPr="00B20401">
        <w:rPr>
          <w:sz w:val="20"/>
        </w:rPr>
        <w:t>Badania wykonania znakowania poziomego z materiału cienkowarstwowego lub grubowarstwowego</w:t>
      </w:r>
    </w:p>
    <w:p w:rsidR="00A52CC6" w:rsidRDefault="00277913" w:rsidP="001955B5">
      <w:pPr>
        <w:pStyle w:val="Tekstpodstawowy"/>
      </w:pPr>
      <w:r>
        <w:t>Wykonawca wykonując znakowanie poziome z materiału cienkowarstwowego lub grubowarstwowego przeprowadza przed rozpoczęciem każdej pracy oraz w czasie jej wykonywania, co najmniej raz dziennie, następujące badania:</w:t>
      </w:r>
    </w:p>
    <w:p w:rsidR="00A52CC6" w:rsidRDefault="00277913" w:rsidP="001955B5">
      <w:pPr>
        <w:pStyle w:val="Tekstpodstawowy"/>
      </w:pPr>
      <w:r>
        <w:t>przed rozpoczęciem</w:t>
      </w:r>
      <w:r>
        <w:rPr>
          <w:spacing w:val="-4"/>
        </w:rPr>
        <w:t xml:space="preserve"> </w:t>
      </w:r>
      <w:r>
        <w:t>pracy:</w:t>
      </w:r>
    </w:p>
    <w:p w:rsidR="00A52CC6" w:rsidRDefault="00277913" w:rsidP="001955B5">
      <w:pPr>
        <w:pStyle w:val="Tekstpodstawowy"/>
      </w:pPr>
      <w:r>
        <w:t>sprawdzenie oznakowania</w:t>
      </w:r>
      <w:r>
        <w:rPr>
          <w:spacing w:val="-3"/>
        </w:rPr>
        <w:t xml:space="preserve"> </w:t>
      </w:r>
      <w:r>
        <w:t>opakowań</w:t>
      </w:r>
    </w:p>
    <w:p w:rsidR="00A52CC6" w:rsidRDefault="00277913" w:rsidP="001955B5">
      <w:pPr>
        <w:pStyle w:val="Tekstpodstawowy"/>
      </w:pPr>
      <w:r>
        <w:t>wizualną ocenę stanu materiału, w zakresie jego jednorodności i widocznych</w:t>
      </w:r>
      <w:r>
        <w:rPr>
          <w:spacing w:val="-15"/>
        </w:rPr>
        <w:t xml:space="preserve"> </w:t>
      </w:r>
      <w:r>
        <w:t>wad,</w:t>
      </w:r>
    </w:p>
    <w:p w:rsidR="00A52CC6" w:rsidRDefault="00277913" w:rsidP="001955B5">
      <w:pPr>
        <w:pStyle w:val="Tekstpodstawowy"/>
      </w:pPr>
      <w:r>
        <w:t>pomiar wilgotności względnej</w:t>
      </w:r>
      <w:r>
        <w:rPr>
          <w:spacing w:val="-1"/>
        </w:rPr>
        <w:t xml:space="preserve"> </w:t>
      </w:r>
      <w:r>
        <w:t>powietrza,</w:t>
      </w:r>
    </w:p>
    <w:p w:rsidR="00A52CC6" w:rsidRDefault="00277913" w:rsidP="001955B5">
      <w:pPr>
        <w:pStyle w:val="Tekstpodstawowy"/>
      </w:pPr>
      <w:r>
        <w:t>pomiar temperatury powietrza i</w:t>
      </w:r>
      <w:r>
        <w:rPr>
          <w:spacing w:val="-2"/>
        </w:rPr>
        <w:t xml:space="preserve"> </w:t>
      </w:r>
      <w:r>
        <w:t>nawierzchni,</w:t>
      </w:r>
    </w:p>
    <w:p w:rsidR="00A52CC6" w:rsidRDefault="00277913" w:rsidP="001955B5">
      <w:pPr>
        <w:pStyle w:val="Tekstpodstawowy"/>
      </w:pPr>
      <w:r>
        <w:t>w czasie wykonywania</w:t>
      </w:r>
      <w:r>
        <w:rPr>
          <w:spacing w:val="-20"/>
        </w:rPr>
        <w:t xml:space="preserve"> </w:t>
      </w:r>
      <w:r>
        <w:t>pracy:</w:t>
      </w:r>
    </w:p>
    <w:p w:rsidR="00A52CC6" w:rsidRDefault="00277913" w:rsidP="001955B5">
      <w:pPr>
        <w:pStyle w:val="Tekstpodstawowy"/>
      </w:pPr>
      <w:r>
        <w:t>pomiar czasu schnięcia, wg POD – 97 Warunki Techniczne. Poziome znakowanie dróg, Seria I, Zeszyt 55, IBDiM, 1997</w:t>
      </w:r>
      <w:r>
        <w:rPr>
          <w:spacing w:val="2"/>
        </w:rPr>
        <w:t xml:space="preserve"> </w:t>
      </w:r>
      <w:r>
        <w:t>r.,</w:t>
      </w:r>
    </w:p>
    <w:p w:rsidR="00A52CC6" w:rsidRDefault="00277913" w:rsidP="001955B5">
      <w:pPr>
        <w:pStyle w:val="Tekstpodstawowy"/>
      </w:pPr>
      <w:r>
        <w:t>wizualną ocenę równomierności rozłożenia kulek</w:t>
      </w:r>
      <w:r>
        <w:rPr>
          <w:spacing w:val="-9"/>
        </w:rPr>
        <w:t xml:space="preserve"> </w:t>
      </w:r>
      <w:r>
        <w:t>szklanych,</w:t>
      </w:r>
    </w:p>
    <w:p w:rsidR="00A52CC6" w:rsidRDefault="00277913" w:rsidP="001955B5">
      <w:pPr>
        <w:pStyle w:val="Tekstpodstawowy"/>
      </w:pPr>
      <w:r>
        <w:t>pomiar grubości warstwy oznakowania – co najmniej 1 badanie na 1 km każdej</w:t>
      </w:r>
      <w:r>
        <w:rPr>
          <w:spacing w:val="-20"/>
        </w:rPr>
        <w:t xml:space="preserve"> </w:t>
      </w:r>
      <w:r>
        <w:t>linii,</w:t>
      </w:r>
    </w:p>
    <w:p w:rsidR="00A52CC6" w:rsidRDefault="00277913" w:rsidP="001955B5">
      <w:pPr>
        <w:pStyle w:val="Tekstpodstawowy"/>
      </w:pPr>
      <w:r>
        <w:t>pomiar poziomych wymiarów oznakowania, na zgodność z PFU, Dokumentami Wykonawcy, poleceniami Inwestora oraz z załącznikiem 2 do rozporządzenia Ministra Infrastruktury z dnia 3 lipca 2003 r. Szczegółowe</w:t>
      </w:r>
      <w:r>
        <w:rPr>
          <w:spacing w:val="-7"/>
        </w:rPr>
        <w:t xml:space="preserve"> </w:t>
      </w:r>
      <w:r>
        <w:t>warunki</w:t>
      </w:r>
      <w:r>
        <w:rPr>
          <w:spacing w:val="-4"/>
        </w:rPr>
        <w:t xml:space="preserve"> </w:t>
      </w:r>
      <w:r>
        <w:t>techniczne</w:t>
      </w:r>
      <w:r>
        <w:rPr>
          <w:spacing w:val="-6"/>
        </w:rPr>
        <w:t xml:space="preserve"> </w:t>
      </w:r>
      <w:r>
        <w:t>dla</w:t>
      </w:r>
      <w:r>
        <w:rPr>
          <w:spacing w:val="-8"/>
        </w:rPr>
        <w:t xml:space="preserve"> </w:t>
      </w:r>
      <w:r>
        <w:t>znaków</w:t>
      </w:r>
      <w:r>
        <w:rPr>
          <w:spacing w:val="-4"/>
        </w:rPr>
        <w:t xml:space="preserve"> </w:t>
      </w:r>
      <w:r>
        <w:t>drogowych</w:t>
      </w:r>
      <w:r>
        <w:rPr>
          <w:spacing w:val="-6"/>
        </w:rPr>
        <w:t xml:space="preserve"> </w:t>
      </w:r>
      <w:r>
        <w:t>poziomych</w:t>
      </w:r>
      <w:r>
        <w:rPr>
          <w:spacing w:val="-7"/>
        </w:rPr>
        <w:t xml:space="preserve"> </w:t>
      </w:r>
      <w:r>
        <w:t>i</w:t>
      </w:r>
      <w:r>
        <w:rPr>
          <w:spacing w:val="-6"/>
        </w:rPr>
        <w:t xml:space="preserve"> </w:t>
      </w:r>
      <w:r>
        <w:t>warunki</w:t>
      </w:r>
      <w:r>
        <w:rPr>
          <w:spacing w:val="-5"/>
        </w:rPr>
        <w:t xml:space="preserve"> </w:t>
      </w:r>
      <w:r>
        <w:t>ich</w:t>
      </w:r>
      <w:r>
        <w:rPr>
          <w:spacing w:val="-4"/>
        </w:rPr>
        <w:t xml:space="preserve"> </w:t>
      </w:r>
      <w:r>
        <w:t>umieszczania</w:t>
      </w:r>
      <w:r>
        <w:rPr>
          <w:spacing w:val="-5"/>
        </w:rPr>
        <w:t xml:space="preserve"> </w:t>
      </w:r>
      <w:r>
        <w:t>na</w:t>
      </w:r>
      <w:r>
        <w:rPr>
          <w:spacing w:val="-6"/>
        </w:rPr>
        <w:t xml:space="preserve"> </w:t>
      </w:r>
      <w:r>
        <w:t>drogach (Dz. U. nr 220, poz. 2181 z dnia 23 grudnia</w:t>
      </w:r>
      <w:r>
        <w:rPr>
          <w:spacing w:val="-14"/>
        </w:rPr>
        <w:t xml:space="preserve"> </w:t>
      </w:r>
      <w:r>
        <w:t>2003r.),</w:t>
      </w:r>
    </w:p>
    <w:p w:rsidR="00A52CC6" w:rsidRDefault="00277913" w:rsidP="001955B5">
      <w:pPr>
        <w:pStyle w:val="Tekstpodstawowy"/>
      </w:pPr>
      <w:r>
        <w:t>kontrola wykonanego</w:t>
      </w:r>
      <w:r>
        <w:rPr>
          <w:spacing w:val="-4"/>
        </w:rPr>
        <w:t xml:space="preserve"> </w:t>
      </w:r>
      <w:r>
        <w:t>oznakowania:</w:t>
      </w:r>
    </w:p>
    <w:p w:rsidR="00A52CC6" w:rsidRDefault="00277913" w:rsidP="001955B5">
      <w:pPr>
        <w:pStyle w:val="Tekstpodstawowy"/>
      </w:pPr>
      <w:r>
        <w:t>widzialności w</w:t>
      </w:r>
      <w:r>
        <w:rPr>
          <w:spacing w:val="-1"/>
        </w:rPr>
        <w:t xml:space="preserve"> </w:t>
      </w:r>
      <w:r>
        <w:t>nocy,</w:t>
      </w:r>
    </w:p>
    <w:p w:rsidR="00A52CC6" w:rsidRDefault="00277913" w:rsidP="001955B5">
      <w:pPr>
        <w:pStyle w:val="Tekstpodstawowy"/>
      </w:pPr>
      <w:r>
        <w:t>widzialności w</w:t>
      </w:r>
      <w:r>
        <w:rPr>
          <w:spacing w:val="-1"/>
        </w:rPr>
        <w:t xml:space="preserve"> </w:t>
      </w:r>
      <w:r>
        <w:t>dzień,</w:t>
      </w:r>
    </w:p>
    <w:p w:rsidR="00A52CC6" w:rsidRDefault="00277913" w:rsidP="001955B5">
      <w:pPr>
        <w:pStyle w:val="Tekstpodstawowy"/>
      </w:pPr>
      <w:r>
        <w:t>szorstkości,</w:t>
      </w:r>
    </w:p>
    <w:p w:rsidR="00A52CC6" w:rsidRDefault="00277913" w:rsidP="001955B5">
      <w:pPr>
        <w:pStyle w:val="Tekstpodstawowy"/>
      </w:pPr>
      <w:r>
        <w:t>określenia barwy czyli oznaczenie składowych trójchromatycznych x, y przy zdefiniowanym źródle światła (2 pomiary określające pole barwy), odpowiadających wymaganiom podanym w PN-EN</w:t>
      </w:r>
      <w:r>
        <w:rPr>
          <w:spacing w:val="-26"/>
        </w:rPr>
        <w:t xml:space="preserve"> </w:t>
      </w:r>
      <w:r>
        <w:t>1436.</w:t>
      </w:r>
    </w:p>
    <w:p w:rsidR="00A52CC6" w:rsidRDefault="00643511" w:rsidP="001955B5">
      <w:pPr>
        <w:pStyle w:val="Tekstpodstawowy"/>
      </w:pPr>
      <w:r>
        <w:t>Protokół z przeprowadzonych badań wraz z jedną próbką, jednoznacznie oznakowaną, na blasze (300 x</w:t>
      </w:r>
      <w:r w:rsidR="00277913">
        <w:t xml:space="preserve"> 250 x 1,5 mm) Wykonawca powinien przechować do czasu upływu okresu</w:t>
      </w:r>
      <w:r w:rsidR="00277913">
        <w:rPr>
          <w:spacing w:val="-19"/>
        </w:rPr>
        <w:t xml:space="preserve"> </w:t>
      </w:r>
      <w:r w:rsidR="00277913">
        <w:t>gwarancji.</w:t>
      </w:r>
    </w:p>
    <w:p w:rsidR="00A52CC6" w:rsidRDefault="00277913" w:rsidP="001955B5">
      <w:pPr>
        <w:pStyle w:val="Tekstpodstawowy"/>
      </w:pPr>
      <w:r>
        <w:t>Do odbioru wykonania oznakowania poziomego, Inwestor powinien wykonać badania kontrolne:</w:t>
      </w:r>
    </w:p>
    <w:p w:rsidR="00A52CC6" w:rsidRDefault="00277913" w:rsidP="001955B5">
      <w:pPr>
        <w:pStyle w:val="Tekstpodstawowy"/>
      </w:pPr>
      <w:r>
        <w:t>widzialności w</w:t>
      </w:r>
      <w:r>
        <w:rPr>
          <w:spacing w:val="-3"/>
        </w:rPr>
        <w:t xml:space="preserve"> </w:t>
      </w:r>
      <w:r>
        <w:t>nocy,</w:t>
      </w:r>
    </w:p>
    <w:p w:rsidR="00A52CC6" w:rsidRDefault="00277913" w:rsidP="001955B5">
      <w:pPr>
        <w:pStyle w:val="Tekstpodstawowy"/>
      </w:pPr>
      <w:r>
        <w:lastRenderedPageBreak/>
        <w:t>widzialności w</w:t>
      </w:r>
      <w:r>
        <w:rPr>
          <w:spacing w:val="-3"/>
        </w:rPr>
        <w:t xml:space="preserve"> </w:t>
      </w:r>
      <w:r>
        <w:t>dzień,</w:t>
      </w:r>
    </w:p>
    <w:p w:rsidR="00A52CC6" w:rsidRDefault="00277913" w:rsidP="001955B5">
      <w:pPr>
        <w:pStyle w:val="Tekstpodstawowy"/>
      </w:pPr>
      <w:r>
        <w:t>szorstkości,</w:t>
      </w:r>
    </w:p>
    <w:p w:rsidR="00A52CC6" w:rsidRDefault="00277913" w:rsidP="001955B5">
      <w:pPr>
        <w:pStyle w:val="Tekstpodstawowy"/>
      </w:pPr>
      <w:r>
        <w:t>odpowiadające wymaganiom podanym w punkcie 6.3.1 i wykonanych według metod określonych w POD – 97 Warunki Techniczne. Poziome znakowanie dróg, Seria I, Zeszyt 55, IBDiM, 1997 r.</w:t>
      </w:r>
    </w:p>
    <w:p w:rsidR="00A52CC6" w:rsidRDefault="00277913" w:rsidP="001955B5">
      <w:pPr>
        <w:pStyle w:val="Tekstpodstawowy"/>
      </w:pPr>
      <w:r>
        <w:t>W przypadku uzyskania rozbieżnych wyników pomiarów uzyskanych przez Zamawiającego i Wykonawcę należy przeprowadzić pomiary rozjemcze. Jeżeli wyniki tych badań wykażą wadliwość wykonanego oznakowania to koszt badań ponosi Wykonawca, w przypadku przeciwnym - Zamawiający.</w:t>
      </w:r>
    </w:p>
    <w:p w:rsidR="00A52CC6" w:rsidRDefault="00277913" w:rsidP="001955B5">
      <w:pPr>
        <w:pStyle w:val="Tekstpodstawowy"/>
      </w:pPr>
      <w:r>
        <w:t>Badania powinien zlecać Zamawiający do niezależnego laboratorium badawczego.</w:t>
      </w:r>
    </w:p>
    <w:p w:rsidR="00A52CC6" w:rsidRDefault="00277913" w:rsidP="001955B5">
      <w:pPr>
        <w:pStyle w:val="Tekstpodstawowy"/>
      </w:pPr>
      <w:r>
        <w:t>W przypadku konieczności wykonywania pomiarów na otwartych do ruchu odcinkach dróg o dopuszczalnej prędkości</w:t>
      </w:r>
    </w:p>
    <w:p w:rsidR="00A52CC6" w:rsidRDefault="00277913" w:rsidP="001955B5">
      <w:pPr>
        <w:pStyle w:val="Tekstpodstawowy"/>
      </w:pPr>
      <w:r>
        <w:t>≥ 100 km/h należy ograniczyć je do linii krawędziowych zewnętrznych w przypadku wykonywania pomiarów aparatami ręcznymi, ze względu na bezpieczeństwo wykonujących pomiary.</w:t>
      </w:r>
    </w:p>
    <w:p w:rsidR="00A52CC6" w:rsidRDefault="00277913" w:rsidP="001955B5">
      <w:pPr>
        <w:pStyle w:val="Tekstpodstawowy"/>
      </w:pPr>
      <w:r>
        <w:t>Pomiary współczynnika odblasku na liniach segregacyjnych i krawędziowych wewnętrznych, na otwartych do ruchu odcinkach dróg o dopuszczalnej prędkości ≥ 100 km/h, a także na liniach podłużnych oznakowań z wygarbieniami, należy wykonywać przy użyciu mobilnego reflektometru zainstalowanego na samochodzie i wykonującego pomiary w</w:t>
      </w:r>
      <w:r>
        <w:rPr>
          <w:spacing w:val="-4"/>
        </w:rPr>
        <w:t xml:space="preserve"> </w:t>
      </w:r>
      <w:r>
        <w:t>ruchu.</w:t>
      </w:r>
    </w:p>
    <w:p w:rsidR="00A52CC6" w:rsidRDefault="00277913" w:rsidP="001955B5">
      <w:pPr>
        <w:pStyle w:val="Tekstpodstawowy"/>
      </w:pPr>
      <w:r>
        <w:t>W</w:t>
      </w:r>
      <w:r>
        <w:rPr>
          <w:spacing w:val="-5"/>
        </w:rPr>
        <w:t xml:space="preserve"> </w:t>
      </w:r>
      <w:r>
        <w:t>przypadku</w:t>
      </w:r>
      <w:r>
        <w:rPr>
          <w:spacing w:val="-6"/>
        </w:rPr>
        <w:t xml:space="preserve"> </w:t>
      </w:r>
      <w:r>
        <w:t>wykonywania</w:t>
      </w:r>
      <w:r>
        <w:rPr>
          <w:spacing w:val="-5"/>
        </w:rPr>
        <w:t xml:space="preserve"> </w:t>
      </w:r>
      <w:r>
        <w:t>pomiarów</w:t>
      </w:r>
      <w:r>
        <w:rPr>
          <w:spacing w:val="-8"/>
        </w:rPr>
        <w:t xml:space="preserve"> </w:t>
      </w:r>
      <w:r>
        <w:t>współczynnika</w:t>
      </w:r>
      <w:r>
        <w:rPr>
          <w:spacing w:val="-8"/>
        </w:rPr>
        <w:t xml:space="preserve"> </w:t>
      </w:r>
      <w:r>
        <w:t>odblaskowości</w:t>
      </w:r>
      <w:r>
        <w:rPr>
          <w:spacing w:val="-6"/>
        </w:rPr>
        <w:t xml:space="preserve"> </w:t>
      </w:r>
      <w:r>
        <w:t>i</w:t>
      </w:r>
      <w:r>
        <w:rPr>
          <w:spacing w:val="-3"/>
        </w:rPr>
        <w:t xml:space="preserve"> </w:t>
      </w:r>
      <w:r>
        <w:t>współczynników</w:t>
      </w:r>
      <w:r>
        <w:rPr>
          <w:spacing w:val="-7"/>
        </w:rPr>
        <w:t xml:space="preserve"> </w:t>
      </w:r>
      <w:r>
        <w:t>luminancji</w:t>
      </w:r>
      <w:r>
        <w:rPr>
          <w:spacing w:val="-5"/>
        </w:rPr>
        <w:t xml:space="preserve"> </w:t>
      </w:r>
      <w:r>
        <w:t>aparatami</w:t>
      </w:r>
      <w:r>
        <w:rPr>
          <w:spacing w:val="-3"/>
        </w:rPr>
        <w:t xml:space="preserve"> </w:t>
      </w:r>
      <w:r>
        <w:t xml:space="preserve">ręcznymi </w:t>
      </w:r>
      <w:r w:rsidR="00643511">
        <w:t>częstotliwość pomiarów należy dostosować do długości badanego odcinka, zgodnie z tablicą</w:t>
      </w:r>
      <w:r>
        <w:t xml:space="preserve">  1.  </w:t>
      </w:r>
      <w:r w:rsidR="00643511">
        <w:t>W każdym z</w:t>
      </w:r>
      <w:r>
        <w:t xml:space="preserve"> mierzonych punktów należy wykonać po 5 odczytów współczynnika odblasku i po 3 odczyty współczynników luminancji w odległości jeden od drugiego minimum 1</w:t>
      </w:r>
      <w:r>
        <w:rPr>
          <w:spacing w:val="-11"/>
        </w:rPr>
        <w:t xml:space="preserve"> </w:t>
      </w:r>
      <w:r>
        <w:t>m.</w:t>
      </w:r>
    </w:p>
    <w:p w:rsidR="00A52CC6" w:rsidRDefault="00277913" w:rsidP="001955B5">
      <w:pPr>
        <w:pStyle w:val="Tekstpodstawowy"/>
      </w:pPr>
      <w:r>
        <w:t>Tablica 1. Częstotliwość pomiarów współczynników odblaskowości i luminancji aparatami ręcznymi</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40"/>
        <w:gridCol w:w="3304"/>
        <w:gridCol w:w="3525"/>
        <w:gridCol w:w="3063"/>
      </w:tblGrid>
      <w:tr w:rsidR="00A52CC6" w:rsidRPr="00CB529E" w:rsidTr="00CB529E">
        <w:trPr>
          <w:trHeight w:val="480"/>
          <w:jc w:val="center"/>
        </w:trPr>
        <w:tc>
          <w:tcPr>
            <w:tcW w:w="434" w:type="pct"/>
            <w:tcBorders>
              <w:bottom w:val="double" w:sz="1" w:space="0" w:color="000000"/>
            </w:tcBorders>
            <w:vAlign w:val="center"/>
          </w:tcPr>
          <w:p w:rsidR="00A52CC6" w:rsidRPr="00CB529E" w:rsidRDefault="00277913" w:rsidP="00CB529E">
            <w:pPr>
              <w:pStyle w:val="TableParagraph"/>
              <w:spacing w:before="145"/>
              <w:ind w:left="148"/>
              <w:jc w:val="center"/>
              <w:rPr>
                <w:i/>
                <w:sz w:val="18"/>
                <w:szCs w:val="18"/>
              </w:rPr>
            </w:pPr>
            <w:r w:rsidRPr="00CB529E">
              <w:rPr>
                <w:i/>
                <w:sz w:val="18"/>
                <w:szCs w:val="18"/>
              </w:rPr>
              <w:t>Lp.</w:t>
            </w:r>
          </w:p>
        </w:tc>
        <w:tc>
          <w:tcPr>
            <w:tcW w:w="1525" w:type="pct"/>
            <w:tcBorders>
              <w:bottom w:val="double" w:sz="1" w:space="0" w:color="000000"/>
            </w:tcBorders>
            <w:vAlign w:val="center"/>
          </w:tcPr>
          <w:p w:rsidR="00A52CC6" w:rsidRPr="00CB529E" w:rsidRDefault="00277913" w:rsidP="00CB529E">
            <w:pPr>
              <w:pStyle w:val="TableParagraph"/>
              <w:spacing w:before="145"/>
              <w:ind w:left="132" w:right="123"/>
              <w:jc w:val="center"/>
              <w:rPr>
                <w:i/>
                <w:sz w:val="18"/>
                <w:szCs w:val="18"/>
              </w:rPr>
            </w:pPr>
            <w:r w:rsidRPr="00CB529E">
              <w:rPr>
                <w:i/>
                <w:sz w:val="18"/>
                <w:szCs w:val="18"/>
              </w:rPr>
              <w:t>Długość odcinka, km</w:t>
            </w:r>
          </w:p>
        </w:tc>
        <w:tc>
          <w:tcPr>
            <w:tcW w:w="1627" w:type="pct"/>
            <w:tcBorders>
              <w:bottom w:val="double" w:sz="1" w:space="0" w:color="000000"/>
            </w:tcBorders>
            <w:vAlign w:val="center"/>
          </w:tcPr>
          <w:p w:rsidR="00A52CC6" w:rsidRPr="00CB529E" w:rsidRDefault="00277913" w:rsidP="00CB529E">
            <w:pPr>
              <w:pStyle w:val="TableParagraph"/>
              <w:spacing w:before="44"/>
              <w:ind w:left="570" w:hanging="504"/>
              <w:jc w:val="center"/>
              <w:rPr>
                <w:i/>
                <w:sz w:val="18"/>
                <w:szCs w:val="18"/>
              </w:rPr>
            </w:pPr>
            <w:r w:rsidRPr="00CB529E">
              <w:rPr>
                <w:i/>
                <w:sz w:val="18"/>
                <w:szCs w:val="18"/>
              </w:rPr>
              <w:t>Częstotliwość pomiarów, co najmniej</w:t>
            </w:r>
          </w:p>
        </w:tc>
        <w:tc>
          <w:tcPr>
            <w:tcW w:w="1414" w:type="pct"/>
            <w:tcBorders>
              <w:bottom w:val="double" w:sz="1" w:space="0" w:color="000000"/>
            </w:tcBorders>
            <w:vAlign w:val="center"/>
          </w:tcPr>
          <w:p w:rsidR="00A52CC6" w:rsidRPr="00CB529E" w:rsidRDefault="00277913" w:rsidP="00CB529E">
            <w:pPr>
              <w:pStyle w:val="TableParagraph"/>
              <w:spacing w:before="44"/>
              <w:ind w:left="497" w:hanging="212"/>
              <w:jc w:val="center"/>
              <w:rPr>
                <w:i/>
                <w:sz w:val="18"/>
                <w:szCs w:val="18"/>
              </w:rPr>
            </w:pPr>
            <w:r w:rsidRPr="00CB529E">
              <w:rPr>
                <w:i/>
                <w:sz w:val="18"/>
                <w:szCs w:val="18"/>
              </w:rPr>
              <w:t>Minimalna ilość pomiarów</w:t>
            </w:r>
          </w:p>
        </w:tc>
      </w:tr>
      <w:tr w:rsidR="00A52CC6" w:rsidRPr="00CB529E" w:rsidTr="00CB529E">
        <w:trPr>
          <w:trHeight w:val="283"/>
          <w:jc w:val="center"/>
        </w:trPr>
        <w:tc>
          <w:tcPr>
            <w:tcW w:w="434" w:type="pct"/>
            <w:tcBorders>
              <w:top w:val="double" w:sz="1" w:space="0" w:color="000000"/>
            </w:tcBorders>
            <w:vAlign w:val="center"/>
          </w:tcPr>
          <w:p w:rsidR="00A52CC6" w:rsidRPr="00CB529E" w:rsidRDefault="00277913" w:rsidP="00CB529E">
            <w:pPr>
              <w:pStyle w:val="TableParagraph"/>
              <w:spacing w:before="40"/>
              <w:ind w:left="220"/>
              <w:jc w:val="center"/>
              <w:rPr>
                <w:sz w:val="18"/>
                <w:szCs w:val="18"/>
              </w:rPr>
            </w:pPr>
            <w:r w:rsidRPr="00CB529E">
              <w:rPr>
                <w:w w:val="99"/>
                <w:sz w:val="18"/>
                <w:szCs w:val="18"/>
              </w:rPr>
              <w:t>1</w:t>
            </w:r>
          </w:p>
        </w:tc>
        <w:tc>
          <w:tcPr>
            <w:tcW w:w="1525" w:type="pct"/>
            <w:tcBorders>
              <w:top w:val="double" w:sz="1" w:space="0" w:color="000000"/>
            </w:tcBorders>
            <w:vAlign w:val="center"/>
          </w:tcPr>
          <w:p w:rsidR="00A52CC6" w:rsidRPr="00CB529E" w:rsidRDefault="00277913" w:rsidP="00CB529E">
            <w:pPr>
              <w:pStyle w:val="TableParagraph"/>
              <w:spacing w:before="40"/>
              <w:ind w:left="132" w:right="121"/>
              <w:jc w:val="center"/>
              <w:rPr>
                <w:sz w:val="18"/>
                <w:szCs w:val="18"/>
              </w:rPr>
            </w:pPr>
            <w:r w:rsidRPr="00CB529E">
              <w:rPr>
                <w:sz w:val="18"/>
                <w:szCs w:val="18"/>
              </w:rPr>
              <w:t>od 0 do 3</w:t>
            </w:r>
          </w:p>
        </w:tc>
        <w:tc>
          <w:tcPr>
            <w:tcW w:w="1627" w:type="pct"/>
            <w:tcBorders>
              <w:top w:val="double" w:sz="1" w:space="0" w:color="000000"/>
            </w:tcBorders>
            <w:vAlign w:val="center"/>
          </w:tcPr>
          <w:p w:rsidR="00A52CC6" w:rsidRPr="00CB529E" w:rsidRDefault="00277913" w:rsidP="00CB529E">
            <w:pPr>
              <w:pStyle w:val="TableParagraph"/>
              <w:spacing w:before="40"/>
              <w:ind w:left="345" w:right="338"/>
              <w:jc w:val="center"/>
              <w:rPr>
                <w:sz w:val="18"/>
                <w:szCs w:val="18"/>
              </w:rPr>
            </w:pPr>
            <w:r w:rsidRPr="00CB529E">
              <w:rPr>
                <w:sz w:val="18"/>
                <w:szCs w:val="18"/>
              </w:rPr>
              <w:t>od 0,1 do 0,5 km</w:t>
            </w:r>
          </w:p>
        </w:tc>
        <w:tc>
          <w:tcPr>
            <w:tcW w:w="1414" w:type="pct"/>
            <w:tcBorders>
              <w:top w:val="double" w:sz="1" w:space="0" w:color="000000"/>
            </w:tcBorders>
            <w:vAlign w:val="center"/>
          </w:tcPr>
          <w:p w:rsidR="00A52CC6" w:rsidRPr="00CB529E" w:rsidRDefault="00277913" w:rsidP="00CB529E">
            <w:pPr>
              <w:pStyle w:val="TableParagraph"/>
              <w:spacing w:before="40"/>
              <w:ind w:left="676" w:right="674"/>
              <w:jc w:val="center"/>
              <w:rPr>
                <w:sz w:val="18"/>
                <w:szCs w:val="18"/>
              </w:rPr>
            </w:pPr>
            <w:r w:rsidRPr="00CB529E">
              <w:rPr>
                <w:sz w:val="18"/>
                <w:szCs w:val="18"/>
              </w:rPr>
              <w:t>3-6</w:t>
            </w:r>
          </w:p>
        </w:tc>
      </w:tr>
      <w:tr w:rsidR="00A52CC6" w:rsidRPr="00CB529E" w:rsidTr="00CB529E">
        <w:trPr>
          <w:trHeight w:val="290"/>
          <w:jc w:val="center"/>
        </w:trPr>
        <w:tc>
          <w:tcPr>
            <w:tcW w:w="434" w:type="pct"/>
            <w:vAlign w:val="center"/>
          </w:tcPr>
          <w:p w:rsidR="00A52CC6" w:rsidRPr="00CB529E" w:rsidRDefault="00277913" w:rsidP="00CB529E">
            <w:pPr>
              <w:pStyle w:val="TableParagraph"/>
              <w:spacing w:before="46"/>
              <w:ind w:left="220"/>
              <w:jc w:val="center"/>
              <w:rPr>
                <w:sz w:val="18"/>
                <w:szCs w:val="18"/>
              </w:rPr>
            </w:pPr>
            <w:r w:rsidRPr="00CB529E">
              <w:rPr>
                <w:w w:val="99"/>
                <w:sz w:val="18"/>
                <w:szCs w:val="18"/>
              </w:rPr>
              <w:t>2</w:t>
            </w:r>
          </w:p>
        </w:tc>
        <w:tc>
          <w:tcPr>
            <w:tcW w:w="1525" w:type="pct"/>
            <w:vAlign w:val="center"/>
          </w:tcPr>
          <w:p w:rsidR="00A52CC6" w:rsidRPr="00CB529E" w:rsidRDefault="00277913" w:rsidP="00CB529E">
            <w:pPr>
              <w:pStyle w:val="TableParagraph"/>
              <w:spacing w:before="46"/>
              <w:ind w:left="132" w:right="122"/>
              <w:jc w:val="center"/>
              <w:rPr>
                <w:sz w:val="18"/>
                <w:szCs w:val="18"/>
              </w:rPr>
            </w:pPr>
            <w:r w:rsidRPr="00CB529E">
              <w:rPr>
                <w:sz w:val="18"/>
                <w:szCs w:val="18"/>
              </w:rPr>
              <w:t>od 3 – do 10</w:t>
            </w:r>
          </w:p>
        </w:tc>
        <w:tc>
          <w:tcPr>
            <w:tcW w:w="1627" w:type="pct"/>
            <w:vAlign w:val="center"/>
          </w:tcPr>
          <w:p w:rsidR="00A52CC6" w:rsidRPr="00CB529E" w:rsidRDefault="00277913" w:rsidP="00CB529E">
            <w:pPr>
              <w:pStyle w:val="TableParagraph"/>
              <w:spacing w:before="46"/>
              <w:ind w:left="345" w:right="337"/>
              <w:jc w:val="center"/>
              <w:rPr>
                <w:sz w:val="18"/>
                <w:szCs w:val="18"/>
              </w:rPr>
            </w:pPr>
            <w:r w:rsidRPr="00CB529E">
              <w:rPr>
                <w:sz w:val="18"/>
                <w:szCs w:val="18"/>
              </w:rPr>
              <w:t>co 1 km</w:t>
            </w:r>
          </w:p>
        </w:tc>
        <w:tc>
          <w:tcPr>
            <w:tcW w:w="1414" w:type="pct"/>
            <w:vAlign w:val="center"/>
          </w:tcPr>
          <w:p w:rsidR="00A52CC6" w:rsidRPr="00CB529E" w:rsidRDefault="00277913" w:rsidP="00CB529E">
            <w:pPr>
              <w:pStyle w:val="TableParagraph"/>
              <w:spacing w:before="46"/>
              <w:ind w:left="674" w:right="674"/>
              <w:jc w:val="center"/>
              <w:rPr>
                <w:sz w:val="18"/>
                <w:szCs w:val="18"/>
              </w:rPr>
            </w:pPr>
            <w:r w:rsidRPr="00CB529E">
              <w:rPr>
                <w:sz w:val="18"/>
                <w:szCs w:val="18"/>
              </w:rPr>
              <w:t>11</w:t>
            </w:r>
          </w:p>
        </w:tc>
      </w:tr>
      <w:tr w:rsidR="00A52CC6" w:rsidRPr="00CB529E" w:rsidTr="00CB529E">
        <w:trPr>
          <w:trHeight w:val="290"/>
          <w:jc w:val="center"/>
        </w:trPr>
        <w:tc>
          <w:tcPr>
            <w:tcW w:w="434" w:type="pct"/>
            <w:vAlign w:val="center"/>
          </w:tcPr>
          <w:p w:rsidR="00A52CC6" w:rsidRPr="00CB529E" w:rsidRDefault="00277913" w:rsidP="00CB529E">
            <w:pPr>
              <w:pStyle w:val="TableParagraph"/>
              <w:spacing w:before="46"/>
              <w:ind w:left="220"/>
              <w:jc w:val="center"/>
              <w:rPr>
                <w:sz w:val="18"/>
                <w:szCs w:val="18"/>
              </w:rPr>
            </w:pPr>
            <w:r w:rsidRPr="00CB529E">
              <w:rPr>
                <w:w w:val="99"/>
                <w:sz w:val="18"/>
                <w:szCs w:val="18"/>
              </w:rPr>
              <w:t>3</w:t>
            </w:r>
          </w:p>
        </w:tc>
        <w:tc>
          <w:tcPr>
            <w:tcW w:w="1525" w:type="pct"/>
            <w:vAlign w:val="center"/>
          </w:tcPr>
          <w:p w:rsidR="00A52CC6" w:rsidRPr="00CB529E" w:rsidRDefault="00277913" w:rsidP="00CB529E">
            <w:pPr>
              <w:pStyle w:val="TableParagraph"/>
              <w:spacing w:before="46"/>
              <w:ind w:left="131" w:right="123"/>
              <w:jc w:val="center"/>
              <w:rPr>
                <w:sz w:val="18"/>
                <w:szCs w:val="18"/>
              </w:rPr>
            </w:pPr>
            <w:r w:rsidRPr="00CB529E">
              <w:rPr>
                <w:sz w:val="18"/>
                <w:szCs w:val="18"/>
              </w:rPr>
              <w:t>od 10 do 20</w:t>
            </w:r>
          </w:p>
        </w:tc>
        <w:tc>
          <w:tcPr>
            <w:tcW w:w="1627" w:type="pct"/>
            <w:vAlign w:val="center"/>
          </w:tcPr>
          <w:p w:rsidR="00A52CC6" w:rsidRPr="00CB529E" w:rsidRDefault="00277913" w:rsidP="00CB529E">
            <w:pPr>
              <w:pStyle w:val="TableParagraph"/>
              <w:spacing w:before="46"/>
              <w:ind w:left="345" w:right="337"/>
              <w:jc w:val="center"/>
              <w:rPr>
                <w:sz w:val="18"/>
                <w:szCs w:val="18"/>
              </w:rPr>
            </w:pPr>
            <w:r w:rsidRPr="00CB529E">
              <w:rPr>
                <w:sz w:val="18"/>
                <w:szCs w:val="18"/>
              </w:rPr>
              <w:t>co 2 km</w:t>
            </w:r>
          </w:p>
        </w:tc>
        <w:tc>
          <w:tcPr>
            <w:tcW w:w="1414" w:type="pct"/>
            <w:vAlign w:val="center"/>
          </w:tcPr>
          <w:p w:rsidR="00A52CC6" w:rsidRPr="00CB529E" w:rsidRDefault="00277913" w:rsidP="00CB529E">
            <w:pPr>
              <w:pStyle w:val="TableParagraph"/>
              <w:spacing w:before="46"/>
              <w:ind w:left="674" w:right="674"/>
              <w:jc w:val="center"/>
              <w:rPr>
                <w:sz w:val="18"/>
                <w:szCs w:val="18"/>
              </w:rPr>
            </w:pPr>
            <w:r w:rsidRPr="00CB529E">
              <w:rPr>
                <w:sz w:val="18"/>
                <w:szCs w:val="18"/>
              </w:rPr>
              <w:t>11</w:t>
            </w:r>
          </w:p>
        </w:tc>
      </w:tr>
      <w:tr w:rsidR="00A52CC6" w:rsidRPr="00CB529E" w:rsidTr="00CB529E">
        <w:trPr>
          <w:trHeight w:val="290"/>
          <w:jc w:val="center"/>
        </w:trPr>
        <w:tc>
          <w:tcPr>
            <w:tcW w:w="434" w:type="pct"/>
            <w:vAlign w:val="center"/>
          </w:tcPr>
          <w:p w:rsidR="00A52CC6" w:rsidRPr="00CB529E" w:rsidRDefault="00277913" w:rsidP="00CB529E">
            <w:pPr>
              <w:pStyle w:val="TableParagraph"/>
              <w:spacing w:before="46"/>
              <w:ind w:left="220"/>
              <w:jc w:val="center"/>
              <w:rPr>
                <w:sz w:val="18"/>
                <w:szCs w:val="18"/>
              </w:rPr>
            </w:pPr>
            <w:r w:rsidRPr="00CB529E">
              <w:rPr>
                <w:w w:val="99"/>
                <w:sz w:val="18"/>
                <w:szCs w:val="18"/>
              </w:rPr>
              <w:t>4</w:t>
            </w:r>
          </w:p>
        </w:tc>
        <w:tc>
          <w:tcPr>
            <w:tcW w:w="1525" w:type="pct"/>
            <w:vAlign w:val="center"/>
          </w:tcPr>
          <w:p w:rsidR="00A52CC6" w:rsidRPr="00CB529E" w:rsidRDefault="00277913" w:rsidP="00CB529E">
            <w:pPr>
              <w:pStyle w:val="TableParagraph"/>
              <w:spacing w:before="46"/>
              <w:ind w:left="131" w:right="123"/>
              <w:jc w:val="center"/>
              <w:rPr>
                <w:sz w:val="18"/>
                <w:szCs w:val="18"/>
              </w:rPr>
            </w:pPr>
            <w:r w:rsidRPr="00CB529E">
              <w:rPr>
                <w:sz w:val="18"/>
                <w:szCs w:val="18"/>
              </w:rPr>
              <w:t>od 20 do 30</w:t>
            </w:r>
          </w:p>
        </w:tc>
        <w:tc>
          <w:tcPr>
            <w:tcW w:w="1627" w:type="pct"/>
            <w:vAlign w:val="center"/>
          </w:tcPr>
          <w:p w:rsidR="00A52CC6" w:rsidRPr="00CB529E" w:rsidRDefault="00277913" w:rsidP="00CB529E">
            <w:pPr>
              <w:pStyle w:val="TableParagraph"/>
              <w:spacing w:before="46"/>
              <w:ind w:left="345" w:right="337"/>
              <w:jc w:val="center"/>
              <w:rPr>
                <w:sz w:val="18"/>
                <w:szCs w:val="18"/>
              </w:rPr>
            </w:pPr>
            <w:r w:rsidRPr="00CB529E">
              <w:rPr>
                <w:sz w:val="18"/>
                <w:szCs w:val="18"/>
              </w:rPr>
              <w:t>co 3 km</w:t>
            </w:r>
          </w:p>
        </w:tc>
        <w:tc>
          <w:tcPr>
            <w:tcW w:w="1414" w:type="pct"/>
            <w:vAlign w:val="center"/>
          </w:tcPr>
          <w:p w:rsidR="00A52CC6" w:rsidRPr="00CB529E" w:rsidRDefault="00277913" w:rsidP="00CB529E">
            <w:pPr>
              <w:pStyle w:val="TableParagraph"/>
              <w:spacing w:before="46"/>
              <w:ind w:left="674" w:right="674"/>
              <w:jc w:val="center"/>
              <w:rPr>
                <w:sz w:val="18"/>
                <w:szCs w:val="18"/>
              </w:rPr>
            </w:pPr>
            <w:r w:rsidRPr="00CB529E">
              <w:rPr>
                <w:sz w:val="18"/>
                <w:szCs w:val="18"/>
              </w:rPr>
              <w:t>11</w:t>
            </w:r>
          </w:p>
        </w:tc>
      </w:tr>
      <w:tr w:rsidR="00A52CC6" w:rsidRPr="00CB529E" w:rsidTr="00CB529E">
        <w:trPr>
          <w:trHeight w:val="290"/>
          <w:jc w:val="center"/>
        </w:trPr>
        <w:tc>
          <w:tcPr>
            <w:tcW w:w="434" w:type="pct"/>
            <w:vAlign w:val="center"/>
          </w:tcPr>
          <w:p w:rsidR="00A52CC6" w:rsidRPr="00CB529E" w:rsidRDefault="00277913" w:rsidP="00CB529E">
            <w:pPr>
              <w:pStyle w:val="TableParagraph"/>
              <w:spacing w:before="46"/>
              <w:ind w:left="220"/>
              <w:jc w:val="center"/>
              <w:rPr>
                <w:sz w:val="18"/>
                <w:szCs w:val="18"/>
              </w:rPr>
            </w:pPr>
            <w:r w:rsidRPr="00CB529E">
              <w:rPr>
                <w:w w:val="99"/>
                <w:sz w:val="18"/>
                <w:szCs w:val="18"/>
              </w:rPr>
              <w:t>5</w:t>
            </w:r>
          </w:p>
        </w:tc>
        <w:tc>
          <w:tcPr>
            <w:tcW w:w="1525" w:type="pct"/>
            <w:vAlign w:val="center"/>
          </w:tcPr>
          <w:p w:rsidR="00A52CC6" w:rsidRPr="00CB529E" w:rsidRDefault="00277913" w:rsidP="00CB529E">
            <w:pPr>
              <w:pStyle w:val="TableParagraph"/>
              <w:spacing w:before="46"/>
              <w:ind w:left="132" w:right="122"/>
              <w:jc w:val="center"/>
              <w:rPr>
                <w:sz w:val="18"/>
                <w:szCs w:val="18"/>
              </w:rPr>
            </w:pPr>
            <w:r w:rsidRPr="00CB529E">
              <w:rPr>
                <w:sz w:val="18"/>
                <w:szCs w:val="18"/>
              </w:rPr>
              <w:t>powyżej 30</w:t>
            </w:r>
          </w:p>
        </w:tc>
        <w:tc>
          <w:tcPr>
            <w:tcW w:w="1627" w:type="pct"/>
            <w:vAlign w:val="center"/>
          </w:tcPr>
          <w:p w:rsidR="00A52CC6" w:rsidRPr="00CB529E" w:rsidRDefault="00277913" w:rsidP="00CB529E">
            <w:pPr>
              <w:pStyle w:val="TableParagraph"/>
              <w:spacing w:before="46"/>
              <w:ind w:left="345" w:right="337"/>
              <w:jc w:val="center"/>
              <w:rPr>
                <w:sz w:val="18"/>
                <w:szCs w:val="18"/>
              </w:rPr>
            </w:pPr>
            <w:r w:rsidRPr="00CB529E">
              <w:rPr>
                <w:sz w:val="18"/>
                <w:szCs w:val="18"/>
              </w:rPr>
              <w:t>co 4 km</w:t>
            </w:r>
          </w:p>
        </w:tc>
        <w:tc>
          <w:tcPr>
            <w:tcW w:w="1414" w:type="pct"/>
            <w:vAlign w:val="center"/>
          </w:tcPr>
          <w:p w:rsidR="00A52CC6" w:rsidRPr="00CB529E" w:rsidRDefault="00277913" w:rsidP="00CB529E">
            <w:pPr>
              <w:pStyle w:val="TableParagraph"/>
              <w:spacing w:before="46"/>
              <w:ind w:left="677" w:right="674"/>
              <w:jc w:val="center"/>
              <w:rPr>
                <w:sz w:val="18"/>
                <w:szCs w:val="18"/>
              </w:rPr>
            </w:pPr>
            <w:r w:rsidRPr="00CB529E">
              <w:rPr>
                <w:sz w:val="18"/>
                <w:szCs w:val="18"/>
              </w:rPr>
              <w:t>&gt; 11</w:t>
            </w:r>
          </w:p>
        </w:tc>
      </w:tr>
    </w:tbl>
    <w:p w:rsidR="00A52CC6" w:rsidRPr="00B20401" w:rsidRDefault="00277913" w:rsidP="00EA0247">
      <w:pPr>
        <w:pStyle w:val="Nagwek1"/>
        <w:numPr>
          <w:ilvl w:val="2"/>
          <w:numId w:val="24"/>
        </w:numPr>
        <w:spacing w:before="120" w:after="120"/>
        <w:ind w:left="0" w:firstLine="0"/>
        <w:rPr>
          <w:sz w:val="20"/>
        </w:rPr>
      </w:pPr>
      <w:r w:rsidRPr="00B20401">
        <w:rPr>
          <w:sz w:val="20"/>
        </w:rPr>
        <w:t>Badania wykonania posypania mikrokulkami szklanymi</w:t>
      </w:r>
    </w:p>
    <w:p w:rsidR="00D2446F" w:rsidRDefault="00277913" w:rsidP="001955B5">
      <w:pPr>
        <w:pStyle w:val="Tekstpodstawowy"/>
      </w:pPr>
      <w:r>
        <w:t>Ocenę rozkładu i zanurzenia mikrokulek szklanych w masie oznakowania poziomego dokonuje się za pomocą szkła powiększającego. Rozkład mikrokulek powinien być jednolity i zapewnić równomierne pokrycie oznakowania. Optymalną odblaskowość oznakowania w trakcie całego okresu eksploatacji uzyskuje się poprzez zanurzenie mikrokulek na poziomie 55 – 65 %.</w:t>
      </w:r>
    </w:p>
    <w:p w:rsidR="00A52CC6" w:rsidRPr="00B20401" w:rsidRDefault="00277913" w:rsidP="00EA0247">
      <w:pPr>
        <w:pStyle w:val="Nagwek1"/>
        <w:numPr>
          <w:ilvl w:val="2"/>
          <w:numId w:val="24"/>
        </w:numPr>
        <w:spacing w:before="120" w:after="120"/>
        <w:ind w:left="0" w:firstLine="0"/>
        <w:rPr>
          <w:sz w:val="20"/>
        </w:rPr>
      </w:pPr>
      <w:r w:rsidRPr="00B20401">
        <w:rPr>
          <w:sz w:val="20"/>
        </w:rPr>
        <w:t>Zbiorcze zestawienie wymagań dla materiałów</w:t>
      </w:r>
    </w:p>
    <w:p w:rsidR="00A52CC6" w:rsidRDefault="00277913" w:rsidP="001955B5">
      <w:pPr>
        <w:pStyle w:val="Tekstpodstawowy"/>
      </w:pPr>
      <w:r>
        <w:t>Tablica 3. Zbiorcze zestawienie wymagań dla oznakowania na drodze ekspresowej</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2"/>
        <w:gridCol w:w="5721"/>
        <w:gridCol w:w="1287"/>
        <w:gridCol w:w="1343"/>
        <w:gridCol w:w="1889"/>
      </w:tblGrid>
      <w:tr w:rsidR="00A52CC6" w:rsidRPr="00BC516E" w:rsidTr="001955B5">
        <w:trPr>
          <w:trHeight w:val="366"/>
          <w:tblHeader/>
          <w:jc w:val="center"/>
        </w:trPr>
        <w:tc>
          <w:tcPr>
            <w:tcW w:w="273" w:type="pct"/>
            <w:tcBorders>
              <w:bottom w:val="double" w:sz="1" w:space="0" w:color="000000"/>
            </w:tcBorders>
            <w:vAlign w:val="center"/>
          </w:tcPr>
          <w:p w:rsidR="00A52CC6" w:rsidRPr="00BC516E" w:rsidRDefault="00277913" w:rsidP="001955B5">
            <w:pPr>
              <w:pStyle w:val="TableParagraph"/>
              <w:jc w:val="center"/>
              <w:rPr>
                <w:sz w:val="18"/>
              </w:rPr>
            </w:pPr>
            <w:r w:rsidRPr="00BC516E">
              <w:rPr>
                <w:sz w:val="18"/>
              </w:rPr>
              <w:t>Lp.</w:t>
            </w:r>
          </w:p>
        </w:tc>
        <w:tc>
          <w:tcPr>
            <w:tcW w:w="2641" w:type="pct"/>
            <w:tcBorders>
              <w:bottom w:val="double" w:sz="1" w:space="0" w:color="000000"/>
            </w:tcBorders>
            <w:vAlign w:val="center"/>
          </w:tcPr>
          <w:p w:rsidR="00A52CC6" w:rsidRPr="00BC516E" w:rsidRDefault="00277913" w:rsidP="001955B5">
            <w:pPr>
              <w:pStyle w:val="TableParagraph"/>
              <w:jc w:val="center"/>
              <w:rPr>
                <w:sz w:val="18"/>
              </w:rPr>
            </w:pPr>
            <w:r w:rsidRPr="00BC516E">
              <w:rPr>
                <w:sz w:val="18"/>
              </w:rPr>
              <w:t>Właściwość</w:t>
            </w:r>
          </w:p>
        </w:tc>
        <w:tc>
          <w:tcPr>
            <w:tcW w:w="594" w:type="pct"/>
            <w:tcBorders>
              <w:bottom w:val="double" w:sz="1" w:space="0" w:color="000000"/>
            </w:tcBorders>
            <w:vAlign w:val="center"/>
          </w:tcPr>
          <w:p w:rsidR="00A52CC6" w:rsidRPr="00BC516E" w:rsidRDefault="00277913" w:rsidP="001955B5">
            <w:pPr>
              <w:pStyle w:val="TableParagraph"/>
              <w:jc w:val="center"/>
              <w:rPr>
                <w:sz w:val="18"/>
              </w:rPr>
            </w:pPr>
            <w:r w:rsidRPr="00BC516E">
              <w:rPr>
                <w:sz w:val="18"/>
              </w:rPr>
              <w:t>Jednostki</w:t>
            </w:r>
          </w:p>
        </w:tc>
        <w:tc>
          <w:tcPr>
            <w:tcW w:w="620" w:type="pct"/>
            <w:tcBorders>
              <w:bottom w:val="double" w:sz="1" w:space="0" w:color="000000"/>
            </w:tcBorders>
            <w:vAlign w:val="center"/>
          </w:tcPr>
          <w:p w:rsidR="00A52CC6" w:rsidRPr="00BC516E" w:rsidRDefault="00277913" w:rsidP="001955B5">
            <w:pPr>
              <w:pStyle w:val="TableParagraph"/>
              <w:jc w:val="center"/>
              <w:rPr>
                <w:sz w:val="18"/>
              </w:rPr>
            </w:pPr>
            <w:r w:rsidRPr="00BC516E">
              <w:rPr>
                <w:sz w:val="18"/>
              </w:rPr>
              <w:t>Wymaganie</w:t>
            </w:r>
          </w:p>
        </w:tc>
        <w:tc>
          <w:tcPr>
            <w:tcW w:w="872" w:type="pct"/>
            <w:tcBorders>
              <w:bottom w:val="double" w:sz="1" w:space="0" w:color="000000"/>
            </w:tcBorders>
            <w:vAlign w:val="center"/>
          </w:tcPr>
          <w:p w:rsidR="00A52CC6" w:rsidRPr="00BC516E" w:rsidRDefault="00277913" w:rsidP="001955B5">
            <w:pPr>
              <w:pStyle w:val="TableParagraph"/>
              <w:jc w:val="center"/>
              <w:rPr>
                <w:sz w:val="18"/>
              </w:rPr>
            </w:pPr>
            <w:r w:rsidRPr="00BC516E">
              <w:rPr>
                <w:sz w:val="18"/>
              </w:rPr>
              <w:t>Klasa</w:t>
            </w:r>
          </w:p>
        </w:tc>
      </w:tr>
      <w:tr w:rsidR="00A52CC6" w:rsidRPr="00BC516E" w:rsidTr="001955B5">
        <w:trPr>
          <w:trHeight w:val="774"/>
          <w:jc w:val="center"/>
        </w:trPr>
        <w:tc>
          <w:tcPr>
            <w:tcW w:w="273" w:type="pct"/>
            <w:tcBorders>
              <w:top w:val="double" w:sz="1" w:space="0" w:color="000000"/>
            </w:tcBorders>
            <w:vAlign w:val="center"/>
          </w:tcPr>
          <w:p w:rsidR="00A52CC6" w:rsidRPr="00BC516E" w:rsidRDefault="00277913" w:rsidP="001955B5">
            <w:pPr>
              <w:pStyle w:val="TableParagraph"/>
              <w:jc w:val="center"/>
              <w:rPr>
                <w:sz w:val="18"/>
              </w:rPr>
            </w:pPr>
            <w:r w:rsidRPr="00BC516E">
              <w:rPr>
                <w:sz w:val="18"/>
              </w:rPr>
              <w:t>1</w:t>
            </w:r>
          </w:p>
        </w:tc>
        <w:tc>
          <w:tcPr>
            <w:tcW w:w="2641" w:type="pct"/>
            <w:tcBorders>
              <w:top w:val="double" w:sz="1" w:space="0" w:color="000000"/>
            </w:tcBorders>
            <w:vAlign w:val="center"/>
          </w:tcPr>
          <w:p w:rsidR="00A52CC6" w:rsidRPr="00BC516E" w:rsidRDefault="00277913" w:rsidP="00EA0247">
            <w:pPr>
              <w:pStyle w:val="TableParagraph"/>
              <w:rPr>
                <w:sz w:val="18"/>
              </w:rPr>
            </w:pPr>
            <w:r w:rsidRPr="00BC516E">
              <w:rPr>
                <w:sz w:val="18"/>
              </w:rPr>
              <w:t>Współczynnik odblasku RL dla oznakowania nowego (w ciągu 14 - 30 dni po wykonaniu) w stanie suchym barwy:</w:t>
            </w:r>
          </w:p>
          <w:p w:rsidR="00A52CC6" w:rsidRPr="00BC516E" w:rsidRDefault="00277913" w:rsidP="00EA0247">
            <w:pPr>
              <w:pStyle w:val="TableParagraph"/>
              <w:numPr>
                <w:ilvl w:val="0"/>
                <w:numId w:val="15"/>
              </w:numPr>
              <w:tabs>
                <w:tab w:val="left" w:pos="108"/>
              </w:tabs>
              <w:ind w:left="0" w:firstLine="0"/>
              <w:rPr>
                <w:sz w:val="18"/>
              </w:rPr>
            </w:pPr>
            <w:r w:rsidRPr="00BC516E">
              <w:rPr>
                <w:sz w:val="18"/>
              </w:rPr>
              <w:t>białej:</w:t>
            </w:r>
          </w:p>
          <w:p w:rsidR="00A52CC6" w:rsidRPr="00BC516E" w:rsidRDefault="00277913" w:rsidP="00EA0247">
            <w:pPr>
              <w:pStyle w:val="TableParagraph"/>
              <w:numPr>
                <w:ilvl w:val="0"/>
                <w:numId w:val="15"/>
              </w:numPr>
              <w:tabs>
                <w:tab w:val="left" w:pos="108"/>
              </w:tabs>
              <w:ind w:left="0" w:firstLine="0"/>
              <w:rPr>
                <w:sz w:val="18"/>
              </w:rPr>
            </w:pPr>
            <w:r w:rsidRPr="00BC516E">
              <w:rPr>
                <w:sz w:val="18"/>
              </w:rPr>
              <w:t>żółtej tymczasowej</w:t>
            </w:r>
          </w:p>
        </w:tc>
        <w:tc>
          <w:tcPr>
            <w:tcW w:w="594" w:type="pct"/>
            <w:tcBorders>
              <w:top w:val="double" w:sz="1" w:space="0" w:color="000000"/>
            </w:tcBorders>
            <w:vAlign w:val="center"/>
          </w:tcPr>
          <w:p w:rsidR="00A52CC6" w:rsidRPr="00BC516E" w:rsidRDefault="00277913" w:rsidP="001955B5">
            <w:pPr>
              <w:pStyle w:val="TableParagraph"/>
              <w:jc w:val="center"/>
              <w:rPr>
                <w:sz w:val="18"/>
              </w:rPr>
            </w:pPr>
            <w:r w:rsidRPr="00BC516E">
              <w:rPr>
                <w:sz w:val="18"/>
              </w:rPr>
              <w:t>mcd/m-2lx-1 mcd/m-2lx-1</w:t>
            </w:r>
          </w:p>
        </w:tc>
        <w:tc>
          <w:tcPr>
            <w:tcW w:w="620" w:type="pct"/>
            <w:tcBorders>
              <w:top w:val="double" w:sz="1" w:space="0" w:color="000000"/>
            </w:tcBorders>
            <w:vAlign w:val="center"/>
          </w:tcPr>
          <w:p w:rsidR="00A52CC6" w:rsidRPr="00BC516E" w:rsidRDefault="00277913" w:rsidP="001955B5">
            <w:pPr>
              <w:pStyle w:val="TableParagraph"/>
              <w:jc w:val="center"/>
              <w:rPr>
                <w:sz w:val="18"/>
              </w:rPr>
            </w:pPr>
            <w:r w:rsidRPr="00BC516E">
              <w:rPr>
                <w:sz w:val="18"/>
              </w:rPr>
              <w:t>≥ 250</w:t>
            </w:r>
          </w:p>
          <w:p w:rsidR="00A52CC6" w:rsidRPr="00BC516E" w:rsidRDefault="00277913" w:rsidP="001955B5">
            <w:pPr>
              <w:pStyle w:val="TableParagraph"/>
              <w:jc w:val="center"/>
              <w:rPr>
                <w:sz w:val="18"/>
              </w:rPr>
            </w:pPr>
            <w:r w:rsidRPr="00BC516E">
              <w:rPr>
                <w:sz w:val="18"/>
              </w:rPr>
              <w:t>≥ 150</w:t>
            </w:r>
          </w:p>
        </w:tc>
        <w:tc>
          <w:tcPr>
            <w:tcW w:w="872" w:type="pct"/>
            <w:tcBorders>
              <w:top w:val="double" w:sz="1" w:space="0" w:color="000000"/>
            </w:tcBorders>
            <w:vAlign w:val="center"/>
          </w:tcPr>
          <w:p w:rsidR="00A52CC6" w:rsidRPr="00BC516E" w:rsidRDefault="00277913" w:rsidP="001955B5">
            <w:pPr>
              <w:pStyle w:val="TableParagraph"/>
              <w:jc w:val="center"/>
              <w:rPr>
                <w:sz w:val="18"/>
              </w:rPr>
            </w:pPr>
            <w:r w:rsidRPr="00BC516E">
              <w:rPr>
                <w:sz w:val="18"/>
              </w:rPr>
              <w:t>R4/5 R3</w:t>
            </w:r>
          </w:p>
        </w:tc>
      </w:tr>
      <w:tr w:rsidR="00A52CC6" w:rsidRPr="00BC516E" w:rsidTr="001955B5">
        <w:trPr>
          <w:trHeight w:val="871"/>
          <w:jc w:val="center"/>
        </w:trPr>
        <w:tc>
          <w:tcPr>
            <w:tcW w:w="273" w:type="pct"/>
            <w:vAlign w:val="center"/>
          </w:tcPr>
          <w:p w:rsidR="00A52CC6" w:rsidRPr="00BC516E" w:rsidRDefault="00277913" w:rsidP="001955B5">
            <w:pPr>
              <w:pStyle w:val="TableParagraph"/>
              <w:jc w:val="center"/>
              <w:rPr>
                <w:sz w:val="18"/>
              </w:rPr>
            </w:pPr>
            <w:r w:rsidRPr="00BC516E">
              <w:rPr>
                <w:sz w:val="18"/>
              </w:rPr>
              <w:t>2</w:t>
            </w:r>
          </w:p>
        </w:tc>
        <w:tc>
          <w:tcPr>
            <w:tcW w:w="2641" w:type="pct"/>
            <w:vAlign w:val="center"/>
          </w:tcPr>
          <w:p w:rsidR="00A52CC6" w:rsidRPr="00BC516E" w:rsidRDefault="00277913" w:rsidP="00EA0247">
            <w:pPr>
              <w:pStyle w:val="TableParagraph"/>
              <w:rPr>
                <w:sz w:val="18"/>
              </w:rPr>
            </w:pPr>
            <w:r w:rsidRPr="00BC516E">
              <w:rPr>
                <w:sz w:val="18"/>
              </w:rPr>
              <w:t>Współczynnik odblasku RL dla oznakowania suchego w okresie od 1 do 6 miesięcy po wykonaniu barwy:</w:t>
            </w:r>
          </w:p>
          <w:p w:rsidR="00A52CC6" w:rsidRPr="00BC516E" w:rsidRDefault="00277913" w:rsidP="00EA0247">
            <w:pPr>
              <w:pStyle w:val="TableParagraph"/>
              <w:numPr>
                <w:ilvl w:val="0"/>
                <w:numId w:val="14"/>
              </w:numPr>
              <w:tabs>
                <w:tab w:val="left" w:pos="108"/>
              </w:tabs>
              <w:ind w:left="0" w:firstLine="0"/>
              <w:rPr>
                <w:sz w:val="18"/>
              </w:rPr>
            </w:pPr>
            <w:r w:rsidRPr="00BC516E">
              <w:rPr>
                <w:sz w:val="18"/>
              </w:rPr>
              <w:t>białej:</w:t>
            </w:r>
          </w:p>
          <w:p w:rsidR="00A52CC6" w:rsidRPr="00BC516E" w:rsidRDefault="00277913" w:rsidP="00EA0247">
            <w:pPr>
              <w:pStyle w:val="TableParagraph"/>
              <w:numPr>
                <w:ilvl w:val="0"/>
                <w:numId w:val="14"/>
              </w:numPr>
              <w:tabs>
                <w:tab w:val="left" w:pos="108"/>
              </w:tabs>
              <w:ind w:left="0" w:firstLine="0"/>
              <w:rPr>
                <w:sz w:val="18"/>
              </w:rPr>
            </w:pPr>
            <w:r w:rsidRPr="00BC516E">
              <w:rPr>
                <w:sz w:val="18"/>
              </w:rPr>
              <w:t>żółtej tymczasowej</w:t>
            </w:r>
          </w:p>
        </w:tc>
        <w:tc>
          <w:tcPr>
            <w:tcW w:w="594" w:type="pct"/>
            <w:vAlign w:val="center"/>
          </w:tcPr>
          <w:p w:rsidR="00A52CC6" w:rsidRPr="00BC516E" w:rsidRDefault="00277913" w:rsidP="001955B5">
            <w:pPr>
              <w:pStyle w:val="TableParagraph"/>
              <w:jc w:val="center"/>
              <w:rPr>
                <w:sz w:val="18"/>
              </w:rPr>
            </w:pPr>
            <w:r w:rsidRPr="00BC516E">
              <w:rPr>
                <w:sz w:val="18"/>
              </w:rPr>
              <w:t>mcd/m-2lx-1 mcd/m-2lx-1</w:t>
            </w:r>
          </w:p>
        </w:tc>
        <w:tc>
          <w:tcPr>
            <w:tcW w:w="620" w:type="pct"/>
            <w:vAlign w:val="center"/>
          </w:tcPr>
          <w:p w:rsidR="00A52CC6" w:rsidRPr="00BC516E" w:rsidRDefault="00277913" w:rsidP="001955B5">
            <w:pPr>
              <w:pStyle w:val="TableParagraph"/>
              <w:jc w:val="center"/>
              <w:rPr>
                <w:sz w:val="18"/>
              </w:rPr>
            </w:pPr>
            <w:r w:rsidRPr="00BC516E">
              <w:rPr>
                <w:sz w:val="18"/>
              </w:rPr>
              <w:t>≥ 200</w:t>
            </w:r>
          </w:p>
          <w:p w:rsidR="00A52CC6" w:rsidRPr="00BC516E" w:rsidRDefault="00277913" w:rsidP="001955B5">
            <w:pPr>
              <w:pStyle w:val="TableParagraph"/>
              <w:jc w:val="center"/>
              <w:rPr>
                <w:sz w:val="18"/>
              </w:rPr>
            </w:pPr>
            <w:r w:rsidRPr="00BC516E">
              <w:rPr>
                <w:sz w:val="18"/>
              </w:rPr>
              <w:t>≥ 100</w:t>
            </w:r>
          </w:p>
        </w:tc>
        <w:tc>
          <w:tcPr>
            <w:tcW w:w="872" w:type="pct"/>
            <w:vAlign w:val="center"/>
          </w:tcPr>
          <w:p w:rsidR="00A52CC6" w:rsidRPr="00BC516E" w:rsidRDefault="00277913" w:rsidP="001955B5">
            <w:pPr>
              <w:pStyle w:val="TableParagraph"/>
              <w:jc w:val="center"/>
              <w:rPr>
                <w:sz w:val="18"/>
              </w:rPr>
            </w:pPr>
            <w:r w:rsidRPr="00BC516E">
              <w:rPr>
                <w:sz w:val="18"/>
              </w:rPr>
              <w:t>R4 R2</w:t>
            </w:r>
          </w:p>
        </w:tc>
      </w:tr>
      <w:tr w:rsidR="00A52CC6" w:rsidRPr="00BC516E" w:rsidTr="001955B5">
        <w:trPr>
          <w:trHeight w:val="386"/>
          <w:jc w:val="center"/>
        </w:trPr>
        <w:tc>
          <w:tcPr>
            <w:tcW w:w="273" w:type="pct"/>
            <w:vAlign w:val="center"/>
          </w:tcPr>
          <w:p w:rsidR="00A52CC6" w:rsidRPr="00BC516E" w:rsidRDefault="00277913" w:rsidP="001955B5">
            <w:pPr>
              <w:pStyle w:val="TableParagraph"/>
              <w:jc w:val="center"/>
              <w:rPr>
                <w:sz w:val="18"/>
              </w:rPr>
            </w:pPr>
            <w:r w:rsidRPr="00BC516E">
              <w:rPr>
                <w:sz w:val="18"/>
              </w:rPr>
              <w:t>3</w:t>
            </w:r>
          </w:p>
        </w:tc>
        <w:tc>
          <w:tcPr>
            <w:tcW w:w="2641" w:type="pct"/>
            <w:vAlign w:val="center"/>
          </w:tcPr>
          <w:p w:rsidR="00A52CC6" w:rsidRPr="00BC516E" w:rsidRDefault="00277913" w:rsidP="00EA0247">
            <w:pPr>
              <w:pStyle w:val="TableParagraph"/>
              <w:rPr>
                <w:sz w:val="18"/>
              </w:rPr>
            </w:pPr>
            <w:r w:rsidRPr="00BC516E">
              <w:rPr>
                <w:sz w:val="18"/>
              </w:rPr>
              <w:t>Współczynnik odblasku RL dla oznakowania suchego od 7 miesiąca po wykonaniu</w:t>
            </w:r>
          </w:p>
        </w:tc>
        <w:tc>
          <w:tcPr>
            <w:tcW w:w="594" w:type="pct"/>
            <w:vAlign w:val="center"/>
          </w:tcPr>
          <w:p w:rsidR="00A52CC6" w:rsidRPr="00BC516E" w:rsidRDefault="00277913" w:rsidP="001955B5">
            <w:pPr>
              <w:pStyle w:val="TableParagraph"/>
              <w:jc w:val="center"/>
              <w:rPr>
                <w:sz w:val="18"/>
              </w:rPr>
            </w:pPr>
            <w:r w:rsidRPr="00BC516E">
              <w:rPr>
                <w:sz w:val="18"/>
              </w:rPr>
              <w:t>mcd/m-2lx-1</w:t>
            </w:r>
          </w:p>
        </w:tc>
        <w:tc>
          <w:tcPr>
            <w:tcW w:w="620" w:type="pct"/>
            <w:vAlign w:val="center"/>
          </w:tcPr>
          <w:p w:rsidR="00A52CC6" w:rsidRPr="00BC516E" w:rsidRDefault="00277913" w:rsidP="001955B5">
            <w:pPr>
              <w:pStyle w:val="TableParagraph"/>
              <w:jc w:val="center"/>
              <w:rPr>
                <w:sz w:val="18"/>
              </w:rPr>
            </w:pPr>
            <w:r w:rsidRPr="00BC516E">
              <w:rPr>
                <w:sz w:val="18"/>
              </w:rPr>
              <w:t>≥ 150</w:t>
            </w:r>
          </w:p>
        </w:tc>
        <w:tc>
          <w:tcPr>
            <w:tcW w:w="872" w:type="pct"/>
            <w:vAlign w:val="center"/>
          </w:tcPr>
          <w:p w:rsidR="00A52CC6" w:rsidRPr="00BC516E" w:rsidRDefault="00277913" w:rsidP="001955B5">
            <w:pPr>
              <w:pStyle w:val="TableParagraph"/>
              <w:jc w:val="center"/>
              <w:rPr>
                <w:sz w:val="18"/>
              </w:rPr>
            </w:pPr>
            <w:r w:rsidRPr="00BC516E">
              <w:rPr>
                <w:sz w:val="18"/>
              </w:rPr>
              <w:t>R3</w:t>
            </w:r>
          </w:p>
        </w:tc>
      </w:tr>
      <w:tr w:rsidR="00A52CC6" w:rsidRPr="00BC516E" w:rsidTr="001955B5">
        <w:trPr>
          <w:trHeight w:val="580"/>
          <w:jc w:val="center"/>
        </w:trPr>
        <w:tc>
          <w:tcPr>
            <w:tcW w:w="273" w:type="pct"/>
            <w:vAlign w:val="center"/>
          </w:tcPr>
          <w:p w:rsidR="00A52CC6" w:rsidRPr="00BC516E" w:rsidRDefault="00277913" w:rsidP="001955B5">
            <w:pPr>
              <w:pStyle w:val="TableParagraph"/>
              <w:jc w:val="center"/>
              <w:rPr>
                <w:sz w:val="18"/>
              </w:rPr>
            </w:pPr>
            <w:r w:rsidRPr="00BC516E">
              <w:rPr>
                <w:sz w:val="18"/>
              </w:rPr>
              <w:t>4</w:t>
            </w:r>
          </w:p>
        </w:tc>
        <w:tc>
          <w:tcPr>
            <w:tcW w:w="2641" w:type="pct"/>
            <w:vAlign w:val="center"/>
          </w:tcPr>
          <w:p w:rsidR="00A52CC6" w:rsidRPr="00BC516E" w:rsidRDefault="00277913" w:rsidP="00EA0247">
            <w:pPr>
              <w:pStyle w:val="TableParagraph"/>
              <w:rPr>
                <w:sz w:val="18"/>
              </w:rPr>
            </w:pPr>
            <w:r w:rsidRPr="00BC516E">
              <w:rPr>
                <w:sz w:val="18"/>
              </w:rPr>
              <w:t>Współczynnik odblasku RL dla grubowarstwowego strukturalnego oznakowania wilgotnego od 14 do 30 dnia po wykonaniu</w:t>
            </w:r>
          </w:p>
        </w:tc>
        <w:tc>
          <w:tcPr>
            <w:tcW w:w="594" w:type="pct"/>
            <w:vAlign w:val="center"/>
          </w:tcPr>
          <w:p w:rsidR="00A52CC6" w:rsidRPr="00BC516E" w:rsidRDefault="00277913" w:rsidP="001955B5">
            <w:pPr>
              <w:pStyle w:val="TableParagraph"/>
              <w:jc w:val="center"/>
              <w:rPr>
                <w:sz w:val="18"/>
              </w:rPr>
            </w:pPr>
            <w:r w:rsidRPr="00BC516E">
              <w:rPr>
                <w:sz w:val="18"/>
              </w:rPr>
              <w:t>mcd/m-2 lx-1</w:t>
            </w:r>
          </w:p>
        </w:tc>
        <w:tc>
          <w:tcPr>
            <w:tcW w:w="620" w:type="pct"/>
            <w:vAlign w:val="center"/>
          </w:tcPr>
          <w:p w:rsidR="00A52CC6" w:rsidRPr="00BC516E" w:rsidRDefault="00277913" w:rsidP="001955B5">
            <w:pPr>
              <w:pStyle w:val="TableParagraph"/>
              <w:jc w:val="center"/>
              <w:rPr>
                <w:sz w:val="18"/>
              </w:rPr>
            </w:pPr>
            <w:r w:rsidRPr="00BC516E">
              <w:rPr>
                <w:sz w:val="18"/>
              </w:rPr>
              <w:t>≥ 50</w:t>
            </w:r>
          </w:p>
        </w:tc>
        <w:tc>
          <w:tcPr>
            <w:tcW w:w="872" w:type="pct"/>
            <w:vAlign w:val="center"/>
          </w:tcPr>
          <w:p w:rsidR="00A52CC6" w:rsidRPr="00BC516E" w:rsidRDefault="00277913" w:rsidP="001955B5">
            <w:pPr>
              <w:pStyle w:val="TableParagraph"/>
              <w:jc w:val="center"/>
              <w:rPr>
                <w:sz w:val="18"/>
              </w:rPr>
            </w:pPr>
            <w:r w:rsidRPr="00BC516E">
              <w:rPr>
                <w:sz w:val="18"/>
              </w:rPr>
              <w:t>RW3</w:t>
            </w:r>
          </w:p>
        </w:tc>
      </w:tr>
      <w:tr w:rsidR="00A52CC6" w:rsidRPr="00BC516E" w:rsidTr="001955B5">
        <w:trPr>
          <w:trHeight w:val="580"/>
          <w:jc w:val="center"/>
        </w:trPr>
        <w:tc>
          <w:tcPr>
            <w:tcW w:w="273" w:type="pct"/>
            <w:vAlign w:val="center"/>
          </w:tcPr>
          <w:p w:rsidR="00A52CC6" w:rsidRPr="00BC516E" w:rsidRDefault="00277913" w:rsidP="001955B5">
            <w:pPr>
              <w:pStyle w:val="TableParagraph"/>
              <w:jc w:val="center"/>
              <w:rPr>
                <w:sz w:val="18"/>
              </w:rPr>
            </w:pPr>
            <w:r w:rsidRPr="00BC516E">
              <w:rPr>
                <w:sz w:val="18"/>
              </w:rPr>
              <w:t>5</w:t>
            </w:r>
          </w:p>
        </w:tc>
        <w:tc>
          <w:tcPr>
            <w:tcW w:w="2641" w:type="pct"/>
            <w:vAlign w:val="center"/>
          </w:tcPr>
          <w:p w:rsidR="00A52CC6" w:rsidRPr="00BC516E" w:rsidRDefault="00277913" w:rsidP="00EA0247">
            <w:pPr>
              <w:pStyle w:val="TableParagraph"/>
              <w:rPr>
                <w:sz w:val="18"/>
              </w:rPr>
            </w:pPr>
            <w:r w:rsidRPr="00BC516E">
              <w:rPr>
                <w:sz w:val="18"/>
              </w:rPr>
              <w:t>Współczynnik odblasku RL dla grubowarstwowego strukturalnego oznakowania wilgotnego po 30 dniu od wykonania</w:t>
            </w:r>
          </w:p>
        </w:tc>
        <w:tc>
          <w:tcPr>
            <w:tcW w:w="594" w:type="pct"/>
            <w:vAlign w:val="center"/>
          </w:tcPr>
          <w:p w:rsidR="00A52CC6" w:rsidRPr="00BC516E" w:rsidRDefault="00277913" w:rsidP="001955B5">
            <w:pPr>
              <w:pStyle w:val="TableParagraph"/>
              <w:jc w:val="center"/>
              <w:rPr>
                <w:sz w:val="18"/>
              </w:rPr>
            </w:pPr>
            <w:r w:rsidRPr="00BC516E">
              <w:rPr>
                <w:sz w:val="18"/>
              </w:rPr>
              <w:t>mcd/m-2 lx-1</w:t>
            </w:r>
          </w:p>
        </w:tc>
        <w:tc>
          <w:tcPr>
            <w:tcW w:w="620" w:type="pct"/>
            <w:vAlign w:val="center"/>
          </w:tcPr>
          <w:p w:rsidR="00A52CC6" w:rsidRPr="00BC516E" w:rsidRDefault="00277913" w:rsidP="001955B5">
            <w:pPr>
              <w:pStyle w:val="TableParagraph"/>
              <w:jc w:val="center"/>
              <w:rPr>
                <w:sz w:val="18"/>
              </w:rPr>
            </w:pPr>
            <w:r w:rsidRPr="00BC516E">
              <w:rPr>
                <w:sz w:val="18"/>
              </w:rPr>
              <w:t>≥ 35</w:t>
            </w:r>
          </w:p>
        </w:tc>
        <w:tc>
          <w:tcPr>
            <w:tcW w:w="872" w:type="pct"/>
            <w:vAlign w:val="center"/>
          </w:tcPr>
          <w:p w:rsidR="00A52CC6" w:rsidRPr="00BC516E" w:rsidRDefault="00277913" w:rsidP="001955B5">
            <w:pPr>
              <w:pStyle w:val="TableParagraph"/>
              <w:jc w:val="center"/>
              <w:rPr>
                <w:sz w:val="18"/>
              </w:rPr>
            </w:pPr>
            <w:r w:rsidRPr="00BC516E">
              <w:rPr>
                <w:sz w:val="18"/>
              </w:rPr>
              <w:t>RW2</w:t>
            </w:r>
          </w:p>
        </w:tc>
      </w:tr>
      <w:tr w:rsidR="00A52CC6" w:rsidRPr="00BC516E" w:rsidTr="001955B5">
        <w:trPr>
          <w:trHeight w:val="777"/>
          <w:jc w:val="center"/>
        </w:trPr>
        <w:tc>
          <w:tcPr>
            <w:tcW w:w="273" w:type="pct"/>
            <w:vAlign w:val="center"/>
          </w:tcPr>
          <w:p w:rsidR="00A52CC6" w:rsidRPr="00BC516E" w:rsidRDefault="00277913" w:rsidP="001955B5">
            <w:pPr>
              <w:pStyle w:val="TableParagraph"/>
              <w:jc w:val="center"/>
              <w:rPr>
                <w:sz w:val="18"/>
              </w:rPr>
            </w:pPr>
            <w:r w:rsidRPr="00BC516E">
              <w:rPr>
                <w:sz w:val="18"/>
              </w:rPr>
              <w:t>6</w:t>
            </w:r>
          </w:p>
        </w:tc>
        <w:tc>
          <w:tcPr>
            <w:tcW w:w="2641" w:type="pct"/>
            <w:vAlign w:val="center"/>
          </w:tcPr>
          <w:p w:rsidR="00A52CC6" w:rsidRPr="00BC516E" w:rsidRDefault="00277913" w:rsidP="00EA0247">
            <w:pPr>
              <w:pStyle w:val="TableParagraph"/>
              <w:rPr>
                <w:sz w:val="18"/>
              </w:rPr>
            </w:pPr>
            <w:r w:rsidRPr="00BC516E">
              <w:rPr>
                <w:sz w:val="18"/>
              </w:rPr>
              <w:t>Współczynnik luminancji ß dla oznakowania nowego (od 14 do 30 dnia po wykonaniu) barwy:</w:t>
            </w:r>
          </w:p>
          <w:p w:rsidR="00A52CC6" w:rsidRPr="00BC516E" w:rsidRDefault="00277913" w:rsidP="00EA0247">
            <w:pPr>
              <w:pStyle w:val="TableParagraph"/>
              <w:numPr>
                <w:ilvl w:val="0"/>
                <w:numId w:val="13"/>
              </w:numPr>
              <w:tabs>
                <w:tab w:val="left" w:pos="108"/>
              </w:tabs>
              <w:ind w:left="0" w:firstLine="0"/>
              <w:rPr>
                <w:sz w:val="18"/>
              </w:rPr>
            </w:pPr>
            <w:r w:rsidRPr="00BC516E">
              <w:rPr>
                <w:sz w:val="18"/>
              </w:rPr>
              <w:t>białej:</w:t>
            </w:r>
          </w:p>
          <w:p w:rsidR="00A52CC6" w:rsidRPr="00BC516E" w:rsidRDefault="00277913" w:rsidP="00EA0247">
            <w:pPr>
              <w:pStyle w:val="TableParagraph"/>
              <w:numPr>
                <w:ilvl w:val="0"/>
                <w:numId w:val="13"/>
              </w:numPr>
              <w:tabs>
                <w:tab w:val="left" w:pos="108"/>
              </w:tabs>
              <w:ind w:left="0" w:firstLine="0"/>
              <w:rPr>
                <w:sz w:val="18"/>
              </w:rPr>
            </w:pPr>
            <w:r w:rsidRPr="00BC516E">
              <w:rPr>
                <w:sz w:val="18"/>
              </w:rPr>
              <w:t>żółtej tymczasowej</w:t>
            </w:r>
          </w:p>
        </w:tc>
        <w:tc>
          <w:tcPr>
            <w:tcW w:w="594" w:type="pct"/>
            <w:vAlign w:val="center"/>
          </w:tcPr>
          <w:p w:rsidR="00A52CC6" w:rsidRPr="00BC516E" w:rsidRDefault="00277913" w:rsidP="001955B5">
            <w:pPr>
              <w:pStyle w:val="TableParagraph"/>
              <w:jc w:val="center"/>
              <w:rPr>
                <w:sz w:val="18"/>
              </w:rPr>
            </w:pPr>
            <w:r w:rsidRPr="00BC516E">
              <w:rPr>
                <w:sz w:val="18"/>
              </w:rPr>
              <w:t>-</w:t>
            </w:r>
          </w:p>
          <w:p w:rsidR="00A52CC6" w:rsidRPr="00BC516E" w:rsidRDefault="00277913" w:rsidP="001955B5">
            <w:pPr>
              <w:pStyle w:val="TableParagraph"/>
              <w:jc w:val="center"/>
              <w:rPr>
                <w:sz w:val="18"/>
              </w:rPr>
            </w:pPr>
            <w:r w:rsidRPr="00BC516E">
              <w:rPr>
                <w:sz w:val="18"/>
              </w:rPr>
              <w:t>-</w:t>
            </w:r>
          </w:p>
        </w:tc>
        <w:tc>
          <w:tcPr>
            <w:tcW w:w="620" w:type="pct"/>
            <w:vAlign w:val="center"/>
          </w:tcPr>
          <w:p w:rsidR="00A52CC6" w:rsidRPr="00BC516E" w:rsidRDefault="00277913" w:rsidP="001955B5">
            <w:pPr>
              <w:pStyle w:val="TableParagraph"/>
              <w:jc w:val="center"/>
              <w:rPr>
                <w:sz w:val="18"/>
              </w:rPr>
            </w:pPr>
            <w:r w:rsidRPr="00BC516E">
              <w:rPr>
                <w:sz w:val="18"/>
              </w:rPr>
              <w:t>≥ 0,40</w:t>
            </w:r>
          </w:p>
          <w:p w:rsidR="00A52CC6" w:rsidRPr="00BC516E" w:rsidRDefault="00277913" w:rsidP="001955B5">
            <w:pPr>
              <w:pStyle w:val="TableParagraph"/>
              <w:jc w:val="center"/>
              <w:rPr>
                <w:sz w:val="18"/>
              </w:rPr>
            </w:pPr>
            <w:r w:rsidRPr="00BC516E">
              <w:rPr>
                <w:sz w:val="18"/>
              </w:rPr>
              <w:t>≥ 0,30</w:t>
            </w:r>
          </w:p>
        </w:tc>
        <w:tc>
          <w:tcPr>
            <w:tcW w:w="872" w:type="pct"/>
            <w:vAlign w:val="center"/>
          </w:tcPr>
          <w:p w:rsidR="00A52CC6" w:rsidRPr="00BC516E" w:rsidRDefault="00277913" w:rsidP="001955B5">
            <w:pPr>
              <w:pStyle w:val="TableParagraph"/>
              <w:jc w:val="center"/>
              <w:rPr>
                <w:sz w:val="18"/>
              </w:rPr>
            </w:pPr>
            <w:r w:rsidRPr="00BC516E">
              <w:rPr>
                <w:sz w:val="18"/>
              </w:rPr>
              <w:t>B3 B2</w:t>
            </w:r>
          </w:p>
        </w:tc>
      </w:tr>
      <w:tr w:rsidR="00A52CC6" w:rsidRPr="00BC516E" w:rsidTr="001955B5">
        <w:trPr>
          <w:trHeight w:val="777"/>
          <w:jc w:val="center"/>
        </w:trPr>
        <w:tc>
          <w:tcPr>
            <w:tcW w:w="273" w:type="pct"/>
            <w:vAlign w:val="center"/>
          </w:tcPr>
          <w:p w:rsidR="00A52CC6" w:rsidRPr="00BC516E" w:rsidRDefault="00277913" w:rsidP="001955B5">
            <w:pPr>
              <w:pStyle w:val="TableParagraph"/>
              <w:jc w:val="center"/>
              <w:rPr>
                <w:sz w:val="18"/>
              </w:rPr>
            </w:pPr>
            <w:r w:rsidRPr="00BC516E">
              <w:rPr>
                <w:sz w:val="18"/>
              </w:rPr>
              <w:lastRenderedPageBreak/>
              <w:t>7</w:t>
            </w:r>
          </w:p>
        </w:tc>
        <w:tc>
          <w:tcPr>
            <w:tcW w:w="2641" w:type="pct"/>
            <w:vAlign w:val="center"/>
          </w:tcPr>
          <w:p w:rsidR="00A52CC6" w:rsidRPr="00BC516E" w:rsidRDefault="00277913" w:rsidP="00EA0247">
            <w:pPr>
              <w:pStyle w:val="TableParagraph"/>
              <w:rPr>
                <w:sz w:val="18"/>
              </w:rPr>
            </w:pPr>
            <w:r w:rsidRPr="00BC516E">
              <w:rPr>
                <w:sz w:val="18"/>
              </w:rPr>
              <w:t>Współczynnik luminancji ß dla oznakowania eksploatowanego (po 30 dniu od wykonania) barwy:</w:t>
            </w:r>
          </w:p>
          <w:p w:rsidR="00A52CC6" w:rsidRPr="00BC516E" w:rsidRDefault="00277913" w:rsidP="00EA0247">
            <w:pPr>
              <w:pStyle w:val="TableParagraph"/>
              <w:numPr>
                <w:ilvl w:val="0"/>
                <w:numId w:val="12"/>
              </w:numPr>
              <w:tabs>
                <w:tab w:val="left" w:pos="108"/>
              </w:tabs>
              <w:ind w:left="0" w:firstLine="0"/>
              <w:rPr>
                <w:sz w:val="18"/>
              </w:rPr>
            </w:pPr>
            <w:r w:rsidRPr="00BC516E">
              <w:rPr>
                <w:sz w:val="18"/>
              </w:rPr>
              <w:t>białej:</w:t>
            </w:r>
          </w:p>
          <w:p w:rsidR="00A52CC6" w:rsidRPr="00BC516E" w:rsidRDefault="00277913" w:rsidP="00EA0247">
            <w:pPr>
              <w:pStyle w:val="TableParagraph"/>
              <w:numPr>
                <w:ilvl w:val="0"/>
                <w:numId w:val="12"/>
              </w:numPr>
              <w:tabs>
                <w:tab w:val="left" w:pos="108"/>
              </w:tabs>
              <w:ind w:left="0" w:firstLine="0"/>
              <w:rPr>
                <w:sz w:val="18"/>
              </w:rPr>
            </w:pPr>
            <w:r w:rsidRPr="00BC516E">
              <w:rPr>
                <w:sz w:val="18"/>
              </w:rPr>
              <w:t>żółtej tymczasowej</w:t>
            </w:r>
          </w:p>
        </w:tc>
        <w:tc>
          <w:tcPr>
            <w:tcW w:w="594" w:type="pct"/>
            <w:vAlign w:val="center"/>
          </w:tcPr>
          <w:p w:rsidR="00A52CC6" w:rsidRPr="00BC516E" w:rsidRDefault="00277913" w:rsidP="001955B5">
            <w:pPr>
              <w:pStyle w:val="TableParagraph"/>
              <w:jc w:val="center"/>
              <w:rPr>
                <w:sz w:val="18"/>
              </w:rPr>
            </w:pPr>
            <w:r w:rsidRPr="00BC516E">
              <w:rPr>
                <w:sz w:val="18"/>
              </w:rPr>
              <w:t>-</w:t>
            </w:r>
          </w:p>
          <w:p w:rsidR="00A52CC6" w:rsidRPr="00BC516E" w:rsidRDefault="00277913" w:rsidP="001955B5">
            <w:pPr>
              <w:pStyle w:val="TableParagraph"/>
              <w:jc w:val="center"/>
              <w:rPr>
                <w:sz w:val="18"/>
              </w:rPr>
            </w:pPr>
            <w:r w:rsidRPr="00BC516E">
              <w:rPr>
                <w:sz w:val="18"/>
              </w:rPr>
              <w:t>-</w:t>
            </w:r>
          </w:p>
        </w:tc>
        <w:tc>
          <w:tcPr>
            <w:tcW w:w="620" w:type="pct"/>
            <w:vAlign w:val="center"/>
          </w:tcPr>
          <w:p w:rsidR="00A52CC6" w:rsidRPr="00BC516E" w:rsidRDefault="00277913" w:rsidP="001955B5">
            <w:pPr>
              <w:pStyle w:val="TableParagraph"/>
              <w:jc w:val="center"/>
              <w:rPr>
                <w:sz w:val="18"/>
              </w:rPr>
            </w:pPr>
            <w:r w:rsidRPr="00BC516E">
              <w:rPr>
                <w:sz w:val="18"/>
              </w:rPr>
              <w:t>≥ 0,30</w:t>
            </w:r>
          </w:p>
          <w:p w:rsidR="00A52CC6" w:rsidRPr="00BC516E" w:rsidRDefault="00277913" w:rsidP="001955B5">
            <w:pPr>
              <w:pStyle w:val="TableParagraph"/>
              <w:jc w:val="center"/>
              <w:rPr>
                <w:sz w:val="18"/>
              </w:rPr>
            </w:pPr>
            <w:r w:rsidRPr="00BC516E">
              <w:rPr>
                <w:sz w:val="18"/>
              </w:rPr>
              <w:t>≥ 0,20</w:t>
            </w:r>
          </w:p>
        </w:tc>
        <w:tc>
          <w:tcPr>
            <w:tcW w:w="872" w:type="pct"/>
            <w:vAlign w:val="center"/>
          </w:tcPr>
          <w:p w:rsidR="00A52CC6" w:rsidRPr="00BC516E" w:rsidRDefault="00277913" w:rsidP="001955B5">
            <w:pPr>
              <w:pStyle w:val="TableParagraph"/>
              <w:jc w:val="center"/>
              <w:rPr>
                <w:sz w:val="18"/>
              </w:rPr>
            </w:pPr>
            <w:r w:rsidRPr="00BC516E">
              <w:rPr>
                <w:sz w:val="18"/>
              </w:rPr>
              <w:t>B2 B1</w:t>
            </w:r>
          </w:p>
        </w:tc>
      </w:tr>
      <w:tr w:rsidR="00A52CC6" w:rsidRPr="00BC516E" w:rsidTr="001955B5">
        <w:trPr>
          <w:trHeight w:val="971"/>
          <w:jc w:val="center"/>
        </w:trPr>
        <w:tc>
          <w:tcPr>
            <w:tcW w:w="273" w:type="pct"/>
            <w:vAlign w:val="center"/>
          </w:tcPr>
          <w:p w:rsidR="00A52CC6" w:rsidRPr="00BC516E" w:rsidRDefault="00277913" w:rsidP="001955B5">
            <w:pPr>
              <w:pStyle w:val="TableParagraph"/>
              <w:jc w:val="center"/>
              <w:rPr>
                <w:sz w:val="18"/>
              </w:rPr>
            </w:pPr>
            <w:r w:rsidRPr="00BC516E">
              <w:rPr>
                <w:sz w:val="18"/>
              </w:rPr>
              <w:t>8</w:t>
            </w:r>
          </w:p>
        </w:tc>
        <w:tc>
          <w:tcPr>
            <w:tcW w:w="2641" w:type="pct"/>
            <w:vAlign w:val="center"/>
          </w:tcPr>
          <w:p w:rsidR="00A52CC6" w:rsidRPr="00BC516E" w:rsidRDefault="00277913" w:rsidP="00EA0247">
            <w:pPr>
              <w:pStyle w:val="TableParagraph"/>
              <w:rPr>
                <w:sz w:val="18"/>
              </w:rPr>
            </w:pPr>
            <w:r w:rsidRPr="00BC516E">
              <w:rPr>
                <w:sz w:val="18"/>
              </w:rPr>
              <w:t>Współczynnik luminancji w świetle rozproszonym Qd (alternatywnie do ß) dla oznakowania nowego w ciągu od 14 do 30 dnia po wykonaniu barwy:</w:t>
            </w:r>
          </w:p>
          <w:p w:rsidR="00A52CC6" w:rsidRPr="00BC516E" w:rsidRDefault="00277913" w:rsidP="00EA0247">
            <w:pPr>
              <w:pStyle w:val="TableParagraph"/>
              <w:numPr>
                <w:ilvl w:val="0"/>
                <w:numId w:val="11"/>
              </w:numPr>
              <w:tabs>
                <w:tab w:val="left" w:pos="108"/>
              </w:tabs>
              <w:ind w:left="0" w:firstLine="0"/>
              <w:rPr>
                <w:sz w:val="18"/>
              </w:rPr>
            </w:pPr>
            <w:r w:rsidRPr="00BC516E">
              <w:rPr>
                <w:sz w:val="18"/>
              </w:rPr>
              <w:t>białej:</w:t>
            </w:r>
          </w:p>
          <w:p w:rsidR="00A52CC6" w:rsidRPr="00BC516E" w:rsidRDefault="00277913" w:rsidP="00EA0247">
            <w:pPr>
              <w:pStyle w:val="TableParagraph"/>
              <w:numPr>
                <w:ilvl w:val="0"/>
                <w:numId w:val="11"/>
              </w:numPr>
              <w:tabs>
                <w:tab w:val="left" w:pos="108"/>
              </w:tabs>
              <w:ind w:left="0" w:firstLine="0"/>
              <w:rPr>
                <w:sz w:val="18"/>
              </w:rPr>
            </w:pPr>
            <w:r w:rsidRPr="00BC516E">
              <w:rPr>
                <w:sz w:val="18"/>
              </w:rPr>
              <w:t>żółtej tymczasowej</w:t>
            </w:r>
          </w:p>
        </w:tc>
        <w:tc>
          <w:tcPr>
            <w:tcW w:w="594" w:type="pct"/>
            <w:vAlign w:val="center"/>
          </w:tcPr>
          <w:p w:rsidR="00A52CC6" w:rsidRPr="00BC516E" w:rsidRDefault="00277913" w:rsidP="001955B5">
            <w:pPr>
              <w:pStyle w:val="TableParagraph"/>
              <w:jc w:val="center"/>
              <w:rPr>
                <w:sz w:val="18"/>
              </w:rPr>
            </w:pPr>
            <w:r w:rsidRPr="00BC516E">
              <w:rPr>
                <w:sz w:val="18"/>
              </w:rPr>
              <w:t>mcd/m-2 lx-1 mcd/m-2 lx-1</w:t>
            </w:r>
          </w:p>
        </w:tc>
        <w:tc>
          <w:tcPr>
            <w:tcW w:w="620" w:type="pct"/>
            <w:vAlign w:val="center"/>
          </w:tcPr>
          <w:p w:rsidR="00A52CC6" w:rsidRPr="00BC516E" w:rsidRDefault="00277913" w:rsidP="001955B5">
            <w:pPr>
              <w:pStyle w:val="TableParagraph"/>
              <w:jc w:val="center"/>
              <w:rPr>
                <w:sz w:val="18"/>
              </w:rPr>
            </w:pPr>
            <w:r w:rsidRPr="00BC516E">
              <w:rPr>
                <w:sz w:val="18"/>
              </w:rPr>
              <w:t>≥ 130</w:t>
            </w:r>
          </w:p>
          <w:p w:rsidR="00A52CC6" w:rsidRPr="00BC516E" w:rsidRDefault="00277913" w:rsidP="001955B5">
            <w:pPr>
              <w:pStyle w:val="TableParagraph"/>
              <w:jc w:val="center"/>
              <w:rPr>
                <w:sz w:val="18"/>
              </w:rPr>
            </w:pPr>
            <w:r w:rsidRPr="00BC516E">
              <w:rPr>
                <w:sz w:val="18"/>
              </w:rPr>
              <w:t>≥ 100</w:t>
            </w:r>
          </w:p>
        </w:tc>
        <w:tc>
          <w:tcPr>
            <w:tcW w:w="872" w:type="pct"/>
            <w:vAlign w:val="center"/>
          </w:tcPr>
          <w:p w:rsidR="00A52CC6" w:rsidRPr="00BC516E" w:rsidRDefault="00277913" w:rsidP="001955B5">
            <w:pPr>
              <w:pStyle w:val="TableParagraph"/>
              <w:jc w:val="center"/>
              <w:rPr>
                <w:sz w:val="18"/>
              </w:rPr>
            </w:pPr>
            <w:r w:rsidRPr="00BC516E">
              <w:rPr>
                <w:sz w:val="18"/>
              </w:rPr>
              <w:t>Q3 Q2</w:t>
            </w:r>
          </w:p>
        </w:tc>
      </w:tr>
      <w:tr w:rsidR="00A52CC6" w:rsidRPr="00BC516E" w:rsidTr="001955B5">
        <w:trPr>
          <w:trHeight w:val="1165"/>
          <w:jc w:val="center"/>
        </w:trPr>
        <w:tc>
          <w:tcPr>
            <w:tcW w:w="273" w:type="pct"/>
            <w:vAlign w:val="center"/>
          </w:tcPr>
          <w:p w:rsidR="00A52CC6" w:rsidRPr="00BC516E" w:rsidRDefault="00277913" w:rsidP="001955B5">
            <w:pPr>
              <w:pStyle w:val="TableParagraph"/>
              <w:jc w:val="center"/>
              <w:rPr>
                <w:sz w:val="18"/>
              </w:rPr>
            </w:pPr>
            <w:r w:rsidRPr="00BC516E">
              <w:rPr>
                <w:sz w:val="18"/>
              </w:rPr>
              <w:t>9</w:t>
            </w:r>
          </w:p>
        </w:tc>
        <w:tc>
          <w:tcPr>
            <w:tcW w:w="2641" w:type="pct"/>
            <w:vAlign w:val="center"/>
          </w:tcPr>
          <w:p w:rsidR="00A52CC6" w:rsidRPr="00BC516E" w:rsidRDefault="00277913" w:rsidP="00EA0247">
            <w:pPr>
              <w:pStyle w:val="TableParagraph"/>
              <w:rPr>
                <w:sz w:val="18"/>
              </w:rPr>
            </w:pPr>
            <w:r w:rsidRPr="00BC516E">
              <w:rPr>
                <w:sz w:val="18"/>
              </w:rPr>
              <w:t>Współczynnik luminancji w świetle rozproszonym Qd (alternatywnie do ß) dla oznakowania eksploatowanego w ciągu całego okresu eksploatacji po 30 dniu od wykonania barwy:</w:t>
            </w:r>
          </w:p>
          <w:p w:rsidR="00A52CC6" w:rsidRPr="00BC516E" w:rsidRDefault="00277913" w:rsidP="00EA0247">
            <w:pPr>
              <w:pStyle w:val="TableParagraph"/>
              <w:numPr>
                <w:ilvl w:val="0"/>
                <w:numId w:val="10"/>
              </w:numPr>
              <w:tabs>
                <w:tab w:val="left" w:pos="108"/>
              </w:tabs>
              <w:ind w:left="0" w:firstLine="0"/>
              <w:rPr>
                <w:sz w:val="18"/>
              </w:rPr>
            </w:pPr>
            <w:r w:rsidRPr="00BC516E">
              <w:rPr>
                <w:sz w:val="18"/>
              </w:rPr>
              <w:t>białej:</w:t>
            </w:r>
          </w:p>
          <w:p w:rsidR="00A52CC6" w:rsidRPr="00BC516E" w:rsidRDefault="00277913" w:rsidP="00EA0247">
            <w:pPr>
              <w:pStyle w:val="TableParagraph"/>
              <w:numPr>
                <w:ilvl w:val="0"/>
                <w:numId w:val="10"/>
              </w:numPr>
              <w:tabs>
                <w:tab w:val="left" w:pos="108"/>
              </w:tabs>
              <w:ind w:left="0" w:firstLine="0"/>
              <w:rPr>
                <w:sz w:val="18"/>
              </w:rPr>
            </w:pPr>
            <w:r w:rsidRPr="00BC516E">
              <w:rPr>
                <w:sz w:val="18"/>
              </w:rPr>
              <w:t>żółtej tymczasowej</w:t>
            </w:r>
          </w:p>
        </w:tc>
        <w:tc>
          <w:tcPr>
            <w:tcW w:w="594" w:type="pct"/>
            <w:vAlign w:val="center"/>
          </w:tcPr>
          <w:p w:rsidR="00A52CC6" w:rsidRPr="00BC516E" w:rsidRDefault="00277913" w:rsidP="001955B5">
            <w:pPr>
              <w:pStyle w:val="TableParagraph"/>
              <w:jc w:val="center"/>
              <w:rPr>
                <w:sz w:val="18"/>
              </w:rPr>
            </w:pPr>
            <w:r w:rsidRPr="00BC516E">
              <w:rPr>
                <w:sz w:val="18"/>
              </w:rPr>
              <w:t>mcd/m-2 lx-1 mcd/m-2 lx-1</w:t>
            </w:r>
          </w:p>
        </w:tc>
        <w:tc>
          <w:tcPr>
            <w:tcW w:w="620" w:type="pct"/>
            <w:vAlign w:val="center"/>
          </w:tcPr>
          <w:p w:rsidR="00A52CC6" w:rsidRPr="00BC516E" w:rsidRDefault="00277913" w:rsidP="001955B5">
            <w:pPr>
              <w:pStyle w:val="TableParagraph"/>
              <w:jc w:val="center"/>
              <w:rPr>
                <w:sz w:val="18"/>
              </w:rPr>
            </w:pPr>
            <w:r w:rsidRPr="00BC516E">
              <w:rPr>
                <w:sz w:val="18"/>
              </w:rPr>
              <w:t>≥ 100</w:t>
            </w:r>
          </w:p>
          <w:p w:rsidR="00A52CC6" w:rsidRPr="00BC516E" w:rsidRDefault="00277913" w:rsidP="001955B5">
            <w:pPr>
              <w:pStyle w:val="TableParagraph"/>
              <w:jc w:val="center"/>
              <w:rPr>
                <w:sz w:val="18"/>
              </w:rPr>
            </w:pPr>
            <w:r w:rsidRPr="00BC516E">
              <w:rPr>
                <w:sz w:val="18"/>
              </w:rPr>
              <w:t>≥ 80</w:t>
            </w:r>
          </w:p>
        </w:tc>
        <w:tc>
          <w:tcPr>
            <w:tcW w:w="872" w:type="pct"/>
            <w:vAlign w:val="center"/>
          </w:tcPr>
          <w:p w:rsidR="00A52CC6" w:rsidRPr="00BC516E" w:rsidRDefault="00277913" w:rsidP="001955B5">
            <w:pPr>
              <w:pStyle w:val="TableParagraph"/>
              <w:jc w:val="center"/>
              <w:rPr>
                <w:sz w:val="18"/>
              </w:rPr>
            </w:pPr>
            <w:r w:rsidRPr="00BC516E">
              <w:rPr>
                <w:sz w:val="18"/>
              </w:rPr>
              <w:t>Q2 Q1</w:t>
            </w:r>
          </w:p>
        </w:tc>
      </w:tr>
      <w:tr w:rsidR="00A52CC6" w:rsidRPr="00BC516E" w:rsidTr="001955B5">
        <w:trPr>
          <w:trHeight w:val="387"/>
          <w:jc w:val="center"/>
        </w:trPr>
        <w:tc>
          <w:tcPr>
            <w:tcW w:w="273" w:type="pct"/>
            <w:vAlign w:val="center"/>
          </w:tcPr>
          <w:p w:rsidR="00A52CC6" w:rsidRPr="00BC516E" w:rsidRDefault="00277913" w:rsidP="001955B5">
            <w:pPr>
              <w:pStyle w:val="TableParagraph"/>
              <w:jc w:val="center"/>
              <w:rPr>
                <w:sz w:val="18"/>
              </w:rPr>
            </w:pPr>
            <w:r w:rsidRPr="00BC516E">
              <w:rPr>
                <w:sz w:val="18"/>
              </w:rPr>
              <w:t>10</w:t>
            </w:r>
          </w:p>
        </w:tc>
        <w:tc>
          <w:tcPr>
            <w:tcW w:w="2641" w:type="pct"/>
            <w:vAlign w:val="center"/>
          </w:tcPr>
          <w:p w:rsidR="00A52CC6" w:rsidRPr="00BC516E" w:rsidRDefault="00277913" w:rsidP="00EA0247">
            <w:pPr>
              <w:pStyle w:val="TableParagraph"/>
              <w:rPr>
                <w:sz w:val="18"/>
              </w:rPr>
            </w:pPr>
            <w:r w:rsidRPr="00BC516E">
              <w:rPr>
                <w:sz w:val="18"/>
              </w:rPr>
              <w:t>Szorstkość oznakowania eksploatowanego</w:t>
            </w:r>
          </w:p>
        </w:tc>
        <w:tc>
          <w:tcPr>
            <w:tcW w:w="594" w:type="pct"/>
            <w:vAlign w:val="center"/>
          </w:tcPr>
          <w:p w:rsidR="00A52CC6" w:rsidRPr="00BC516E" w:rsidRDefault="00277913" w:rsidP="001955B5">
            <w:pPr>
              <w:pStyle w:val="TableParagraph"/>
              <w:jc w:val="center"/>
              <w:rPr>
                <w:sz w:val="18"/>
              </w:rPr>
            </w:pPr>
            <w:r w:rsidRPr="00BC516E">
              <w:rPr>
                <w:sz w:val="18"/>
              </w:rPr>
              <w:t>Wskaźnik SRT</w:t>
            </w:r>
          </w:p>
        </w:tc>
        <w:tc>
          <w:tcPr>
            <w:tcW w:w="620" w:type="pct"/>
            <w:vAlign w:val="center"/>
          </w:tcPr>
          <w:p w:rsidR="00A52CC6" w:rsidRPr="00BC516E" w:rsidRDefault="00277913" w:rsidP="001955B5">
            <w:pPr>
              <w:pStyle w:val="TableParagraph"/>
              <w:jc w:val="center"/>
              <w:rPr>
                <w:sz w:val="18"/>
              </w:rPr>
            </w:pPr>
            <w:r w:rsidRPr="00BC516E">
              <w:rPr>
                <w:sz w:val="18"/>
              </w:rPr>
              <w:t>≥ 45</w:t>
            </w:r>
          </w:p>
        </w:tc>
        <w:tc>
          <w:tcPr>
            <w:tcW w:w="872" w:type="pct"/>
            <w:vAlign w:val="center"/>
          </w:tcPr>
          <w:p w:rsidR="00A52CC6" w:rsidRPr="00BC516E" w:rsidRDefault="00277913" w:rsidP="001955B5">
            <w:pPr>
              <w:pStyle w:val="TableParagraph"/>
              <w:jc w:val="center"/>
              <w:rPr>
                <w:sz w:val="18"/>
              </w:rPr>
            </w:pPr>
            <w:r w:rsidRPr="00BC516E">
              <w:rPr>
                <w:sz w:val="18"/>
              </w:rPr>
              <w:t>S1</w:t>
            </w:r>
          </w:p>
        </w:tc>
      </w:tr>
      <w:tr w:rsidR="00A52CC6" w:rsidRPr="00BC516E" w:rsidTr="001955B5">
        <w:trPr>
          <w:trHeight w:val="386"/>
          <w:jc w:val="center"/>
        </w:trPr>
        <w:tc>
          <w:tcPr>
            <w:tcW w:w="273" w:type="pct"/>
            <w:vAlign w:val="center"/>
          </w:tcPr>
          <w:p w:rsidR="00A52CC6" w:rsidRPr="00BC516E" w:rsidRDefault="00277913" w:rsidP="001955B5">
            <w:pPr>
              <w:pStyle w:val="TableParagraph"/>
              <w:jc w:val="center"/>
              <w:rPr>
                <w:sz w:val="18"/>
              </w:rPr>
            </w:pPr>
            <w:r w:rsidRPr="00BC516E">
              <w:rPr>
                <w:sz w:val="18"/>
              </w:rPr>
              <w:t>11</w:t>
            </w:r>
          </w:p>
        </w:tc>
        <w:tc>
          <w:tcPr>
            <w:tcW w:w="2641" w:type="pct"/>
            <w:vAlign w:val="center"/>
          </w:tcPr>
          <w:p w:rsidR="00A52CC6" w:rsidRPr="00BC516E" w:rsidRDefault="00277913" w:rsidP="00EA0247">
            <w:pPr>
              <w:pStyle w:val="TableParagraph"/>
              <w:rPr>
                <w:sz w:val="18"/>
              </w:rPr>
            </w:pPr>
            <w:r w:rsidRPr="00BC516E">
              <w:rPr>
                <w:sz w:val="18"/>
              </w:rPr>
              <w:t>Trwałość oznakowania cienkowarstwowego po 12 miesiącach:</w:t>
            </w:r>
          </w:p>
        </w:tc>
        <w:tc>
          <w:tcPr>
            <w:tcW w:w="594" w:type="pct"/>
            <w:vAlign w:val="center"/>
          </w:tcPr>
          <w:p w:rsidR="00A52CC6" w:rsidRPr="00BC516E" w:rsidRDefault="00277913" w:rsidP="001955B5">
            <w:pPr>
              <w:pStyle w:val="TableParagraph"/>
              <w:jc w:val="center"/>
              <w:rPr>
                <w:sz w:val="18"/>
              </w:rPr>
            </w:pPr>
            <w:r w:rsidRPr="00BC516E">
              <w:rPr>
                <w:sz w:val="18"/>
              </w:rPr>
              <w:t>Skala LCPC</w:t>
            </w:r>
          </w:p>
        </w:tc>
        <w:tc>
          <w:tcPr>
            <w:tcW w:w="620" w:type="pct"/>
            <w:vAlign w:val="center"/>
          </w:tcPr>
          <w:p w:rsidR="00A52CC6" w:rsidRPr="00BC516E" w:rsidRDefault="00277913" w:rsidP="001955B5">
            <w:pPr>
              <w:pStyle w:val="TableParagraph"/>
              <w:jc w:val="center"/>
              <w:rPr>
                <w:sz w:val="18"/>
              </w:rPr>
            </w:pPr>
            <w:r w:rsidRPr="00BC516E">
              <w:rPr>
                <w:sz w:val="18"/>
              </w:rPr>
              <w:t>≥ 6</w:t>
            </w:r>
          </w:p>
        </w:tc>
        <w:tc>
          <w:tcPr>
            <w:tcW w:w="872" w:type="pct"/>
            <w:vAlign w:val="center"/>
          </w:tcPr>
          <w:p w:rsidR="00A52CC6" w:rsidRPr="00BC516E" w:rsidRDefault="00277913" w:rsidP="001955B5">
            <w:pPr>
              <w:pStyle w:val="TableParagraph"/>
              <w:jc w:val="center"/>
              <w:rPr>
                <w:sz w:val="18"/>
              </w:rPr>
            </w:pPr>
            <w:r w:rsidRPr="00BC516E">
              <w:rPr>
                <w:sz w:val="18"/>
              </w:rPr>
              <w:t>-</w:t>
            </w:r>
          </w:p>
        </w:tc>
      </w:tr>
      <w:tr w:rsidR="00A52CC6" w:rsidRPr="00BC516E" w:rsidTr="001955B5">
        <w:trPr>
          <w:trHeight w:val="582"/>
          <w:jc w:val="center"/>
        </w:trPr>
        <w:tc>
          <w:tcPr>
            <w:tcW w:w="273" w:type="pct"/>
            <w:vAlign w:val="center"/>
          </w:tcPr>
          <w:p w:rsidR="00A52CC6" w:rsidRPr="00BC516E" w:rsidRDefault="00277913" w:rsidP="001955B5">
            <w:pPr>
              <w:pStyle w:val="TableParagraph"/>
              <w:jc w:val="center"/>
              <w:rPr>
                <w:sz w:val="18"/>
              </w:rPr>
            </w:pPr>
            <w:r w:rsidRPr="00BC516E">
              <w:rPr>
                <w:sz w:val="18"/>
              </w:rPr>
              <w:t>12</w:t>
            </w:r>
          </w:p>
        </w:tc>
        <w:tc>
          <w:tcPr>
            <w:tcW w:w="2641" w:type="pct"/>
            <w:vAlign w:val="center"/>
          </w:tcPr>
          <w:p w:rsidR="00A52CC6" w:rsidRPr="00BC516E" w:rsidRDefault="00277913" w:rsidP="00EA0247">
            <w:pPr>
              <w:pStyle w:val="TableParagraph"/>
              <w:rPr>
                <w:sz w:val="18"/>
              </w:rPr>
            </w:pPr>
            <w:r w:rsidRPr="00BC516E">
              <w:rPr>
                <w:sz w:val="18"/>
              </w:rPr>
              <w:t>Czas schnięcia materiału na nawierzchni</w:t>
            </w:r>
          </w:p>
          <w:p w:rsidR="00A52CC6" w:rsidRPr="00BC516E" w:rsidRDefault="00277913" w:rsidP="00EA0247">
            <w:pPr>
              <w:pStyle w:val="TableParagraph"/>
              <w:numPr>
                <w:ilvl w:val="0"/>
                <w:numId w:val="9"/>
              </w:numPr>
              <w:tabs>
                <w:tab w:val="left" w:pos="178"/>
              </w:tabs>
              <w:ind w:left="0" w:firstLine="0"/>
              <w:rPr>
                <w:sz w:val="18"/>
              </w:rPr>
            </w:pPr>
            <w:r w:rsidRPr="00BC516E">
              <w:rPr>
                <w:sz w:val="18"/>
              </w:rPr>
              <w:t>w dzień</w:t>
            </w:r>
          </w:p>
          <w:p w:rsidR="00A52CC6" w:rsidRPr="00BC516E" w:rsidRDefault="00277913" w:rsidP="00EA0247">
            <w:pPr>
              <w:pStyle w:val="TableParagraph"/>
              <w:numPr>
                <w:ilvl w:val="0"/>
                <w:numId w:val="9"/>
              </w:numPr>
              <w:tabs>
                <w:tab w:val="left" w:pos="177"/>
              </w:tabs>
              <w:ind w:left="0" w:firstLine="0"/>
              <w:rPr>
                <w:sz w:val="18"/>
              </w:rPr>
            </w:pPr>
            <w:r w:rsidRPr="00BC516E">
              <w:rPr>
                <w:sz w:val="18"/>
              </w:rPr>
              <w:t>w nocy</w:t>
            </w:r>
          </w:p>
        </w:tc>
        <w:tc>
          <w:tcPr>
            <w:tcW w:w="594" w:type="pct"/>
            <w:vAlign w:val="center"/>
          </w:tcPr>
          <w:p w:rsidR="00A52CC6" w:rsidRPr="00BC516E" w:rsidRDefault="00277913" w:rsidP="001955B5">
            <w:pPr>
              <w:pStyle w:val="TableParagraph"/>
              <w:jc w:val="center"/>
              <w:rPr>
                <w:sz w:val="18"/>
              </w:rPr>
            </w:pPr>
            <w:r w:rsidRPr="00BC516E">
              <w:rPr>
                <w:sz w:val="18"/>
              </w:rPr>
              <w:t xml:space="preserve">h </w:t>
            </w:r>
            <w:proofErr w:type="spellStart"/>
            <w:r w:rsidRPr="00BC516E">
              <w:rPr>
                <w:sz w:val="18"/>
              </w:rPr>
              <w:t>h</w:t>
            </w:r>
            <w:proofErr w:type="spellEnd"/>
          </w:p>
        </w:tc>
        <w:tc>
          <w:tcPr>
            <w:tcW w:w="620" w:type="pct"/>
            <w:vAlign w:val="center"/>
          </w:tcPr>
          <w:p w:rsidR="00A52CC6" w:rsidRPr="00BC516E" w:rsidRDefault="00277913" w:rsidP="001955B5">
            <w:pPr>
              <w:pStyle w:val="TableParagraph"/>
              <w:jc w:val="center"/>
              <w:rPr>
                <w:sz w:val="18"/>
              </w:rPr>
            </w:pPr>
            <w:r w:rsidRPr="00BC516E">
              <w:rPr>
                <w:sz w:val="18"/>
              </w:rPr>
              <w:t>≤1</w:t>
            </w:r>
          </w:p>
          <w:p w:rsidR="00A52CC6" w:rsidRPr="00BC516E" w:rsidRDefault="00277913" w:rsidP="001955B5">
            <w:pPr>
              <w:pStyle w:val="TableParagraph"/>
              <w:jc w:val="center"/>
              <w:rPr>
                <w:sz w:val="18"/>
              </w:rPr>
            </w:pPr>
            <w:r w:rsidRPr="00BC516E">
              <w:rPr>
                <w:sz w:val="18"/>
              </w:rPr>
              <w:t>≤2</w:t>
            </w:r>
          </w:p>
        </w:tc>
        <w:tc>
          <w:tcPr>
            <w:tcW w:w="872" w:type="pct"/>
            <w:vAlign w:val="center"/>
          </w:tcPr>
          <w:p w:rsidR="00A52CC6" w:rsidRPr="00BC516E" w:rsidRDefault="00277913" w:rsidP="001955B5">
            <w:pPr>
              <w:pStyle w:val="TableParagraph"/>
              <w:jc w:val="center"/>
              <w:rPr>
                <w:sz w:val="18"/>
              </w:rPr>
            </w:pPr>
            <w:r w:rsidRPr="00BC516E">
              <w:rPr>
                <w:sz w:val="18"/>
              </w:rPr>
              <w:t>-</w:t>
            </w:r>
          </w:p>
          <w:p w:rsidR="00A52CC6" w:rsidRPr="00BC516E" w:rsidRDefault="00277913" w:rsidP="001955B5">
            <w:pPr>
              <w:pStyle w:val="TableParagraph"/>
              <w:jc w:val="center"/>
              <w:rPr>
                <w:sz w:val="18"/>
              </w:rPr>
            </w:pPr>
            <w:r w:rsidRPr="00BC516E">
              <w:rPr>
                <w:sz w:val="18"/>
              </w:rPr>
              <w:t>-</w:t>
            </w:r>
          </w:p>
        </w:tc>
      </w:tr>
    </w:tbl>
    <w:p w:rsidR="00A52CC6" w:rsidRDefault="00277913" w:rsidP="001955B5">
      <w:pPr>
        <w:pStyle w:val="Tekstpodstawowy"/>
      </w:pPr>
      <w:r>
        <w:t>Tablica 4. Zbiorcze zestawienie wymagań dla oznakowania na pozostałych drogach</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20" w:firstRow="1" w:lastRow="0" w:firstColumn="0" w:lastColumn="0" w:noHBand="1" w:noVBand="1"/>
      </w:tblPr>
      <w:tblGrid>
        <w:gridCol w:w="594"/>
        <w:gridCol w:w="5719"/>
        <w:gridCol w:w="1287"/>
        <w:gridCol w:w="1343"/>
        <w:gridCol w:w="1889"/>
      </w:tblGrid>
      <w:tr w:rsidR="00A52CC6" w:rsidRPr="00BC516E" w:rsidTr="001955B5">
        <w:trPr>
          <w:trHeight w:val="374"/>
          <w:tblHeader/>
          <w:jc w:val="center"/>
          <w:hidden/>
        </w:trPr>
        <w:tc>
          <w:tcPr>
            <w:tcW w:w="274" w:type="pct"/>
            <w:tcBorders>
              <w:bottom w:val="single" w:sz="2" w:space="0" w:color="000000"/>
            </w:tcBorders>
            <w:vAlign w:val="center"/>
          </w:tcPr>
          <w:p w:rsidR="00A52CC6" w:rsidRPr="00BC516E" w:rsidRDefault="00277913" w:rsidP="00BC516E">
            <w:pPr>
              <w:pStyle w:val="TableParagraph"/>
              <w:jc w:val="center"/>
              <w:rPr>
                <w:vanish/>
                <w:sz w:val="18"/>
              </w:rPr>
            </w:pPr>
            <w:r w:rsidRPr="00BC516E">
              <w:rPr>
                <w:vanish/>
                <w:sz w:val="18"/>
              </w:rPr>
              <w:t>Lp.</w:t>
            </w:r>
          </w:p>
        </w:tc>
        <w:tc>
          <w:tcPr>
            <w:tcW w:w="2640" w:type="pct"/>
            <w:tcBorders>
              <w:bottom w:val="single" w:sz="2" w:space="0" w:color="000000"/>
            </w:tcBorders>
            <w:vAlign w:val="center"/>
          </w:tcPr>
          <w:p w:rsidR="00A52CC6" w:rsidRPr="00BC516E" w:rsidRDefault="00277913" w:rsidP="00BC516E">
            <w:pPr>
              <w:pStyle w:val="TableParagraph"/>
              <w:jc w:val="center"/>
              <w:rPr>
                <w:vanish/>
                <w:sz w:val="18"/>
              </w:rPr>
            </w:pPr>
            <w:r w:rsidRPr="00BC516E">
              <w:rPr>
                <w:vanish/>
                <w:sz w:val="18"/>
              </w:rPr>
              <w:t>Właściwość</w:t>
            </w:r>
          </w:p>
        </w:tc>
        <w:tc>
          <w:tcPr>
            <w:tcW w:w="594" w:type="pct"/>
            <w:tcBorders>
              <w:bottom w:val="single" w:sz="2" w:space="0" w:color="000000"/>
            </w:tcBorders>
            <w:vAlign w:val="center"/>
          </w:tcPr>
          <w:p w:rsidR="00A52CC6" w:rsidRPr="00BC516E" w:rsidRDefault="00277913" w:rsidP="00BC516E">
            <w:pPr>
              <w:pStyle w:val="TableParagraph"/>
              <w:jc w:val="center"/>
              <w:rPr>
                <w:vanish/>
                <w:sz w:val="18"/>
              </w:rPr>
            </w:pPr>
            <w:r w:rsidRPr="00BC516E">
              <w:rPr>
                <w:vanish/>
                <w:sz w:val="18"/>
              </w:rPr>
              <w:t>Jednostki</w:t>
            </w:r>
          </w:p>
        </w:tc>
        <w:tc>
          <w:tcPr>
            <w:tcW w:w="620" w:type="pct"/>
            <w:tcBorders>
              <w:bottom w:val="single" w:sz="2" w:space="0" w:color="000000"/>
            </w:tcBorders>
            <w:vAlign w:val="center"/>
          </w:tcPr>
          <w:p w:rsidR="00A52CC6" w:rsidRPr="00BC516E" w:rsidRDefault="00277913" w:rsidP="00BC516E">
            <w:pPr>
              <w:pStyle w:val="TableParagraph"/>
              <w:jc w:val="center"/>
              <w:rPr>
                <w:vanish/>
                <w:sz w:val="18"/>
              </w:rPr>
            </w:pPr>
            <w:r w:rsidRPr="00BC516E">
              <w:rPr>
                <w:vanish/>
                <w:sz w:val="18"/>
              </w:rPr>
              <w:t>Wymaganie</w:t>
            </w:r>
          </w:p>
        </w:tc>
        <w:tc>
          <w:tcPr>
            <w:tcW w:w="872" w:type="pct"/>
            <w:tcBorders>
              <w:bottom w:val="single" w:sz="2" w:space="0" w:color="000000"/>
            </w:tcBorders>
            <w:vAlign w:val="center"/>
          </w:tcPr>
          <w:p w:rsidR="00A52CC6" w:rsidRPr="00BC516E" w:rsidRDefault="00277913" w:rsidP="00BC516E">
            <w:pPr>
              <w:pStyle w:val="TableParagraph"/>
              <w:jc w:val="center"/>
              <w:rPr>
                <w:vanish/>
                <w:sz w:val="18"/>
              </w:rPr>
            </w:pPr>
            <w:r w:rsidRPr="00BC516E">
              <w:rPr>
                <w:vanish/>
                <w:sz w:val="18"/>
              </w:rPr>
              <w:t>Klasa</w:t>
            </w:r>
          </w:p>
        </w:tc>
      </w:tr>
      <w:tr w:rsidR="00A52CC6" w:rsidRPr="00BC516E" w:rsidTr="001955B5">
        <w:trPr>
          <w:trHeight w:val="821"/>
          <w:jc w:val="center"/>
          <w:hidden/>
        </w:trPr>
        <w:tc>
          <w:tcPr>
            <w:tcW w:w="274" w:type="pct"/>
            <w:tcBorders>
              <w:top w:val="single" w:sz="2" w:space="0" w:color="000000"/>
            </w:tcBorders>
            <w:vAlign w:val="center"/>
          </w:tcPr>
          <w:p w:rsidR="00A52CC6" w:rsidRPr="00BC516E" w:rsidRDefault="00277913" w:rsidP="00BC516E">
            <w:pPr>
              <w:pStyle w:val="TableParagraph"/>
              <w:jc w:val="center"/>
              <w:rPr>
                <w:vanish/>
                <w:sz w:val="18"/>
              </w:rPr>
            </w:pPr>
            <w:r w:rsidRPr="00BC516E">
              <w:rPr>
                <w:vanish/>
                <w:sz w:val="18"/>
              </w:rPr>
              <w:t>1</w:t>
            </w:r>
          </w:p>
        </w:tc>
        <w:tc>
          <w:tcPr>
            <w:tcW w:w="2640" w:type="pct"/>
            <w:tcBorders>
              <w:top w:val="single" w:sz="2" w:space="0" w:color="000000"/>
            </w:tcBorders>
            <w:vAlign w:val="center"/>
          </w:tcPr>
          <w:p w:rsidR="00A52CC6" w:rsidRPr="00BC516E" w:rsidRDefault="00277913" w:rsidP="00BC516E">
            <w:pPr>
              <w:pStyle w:val="TableParagraph"/>
              <w:rPr>
                <w:vanish/>
                <w:sz w:val="18"/>
              </w:rPr>
            </w:pPr>
            <w:r w:rsidRPr="00BC516E">
              <w:rPr>
                <w:vanish/>
                <w:sz w:val="18"/>
              </w:rPr>
              <w:t>Współczynnik odblasku RL dla oznakowania nowego (w ciągu 14 - 30 dni po wykonaniu) w stanie suchym barwy:</w:t>
            </w:r>
          </w:p>
          <w:p w:rsidR="00A52CC6" w:rsidRPr="00BC516E" w:rsidRDefault="00277913" w:rsidP="00BC516E">
            <w:pPr>
              <w:pStyle w:val="TableParagraph"/>
              <w:numPr>
                <w:ilvl w:val="0"/>
                <w:numId w:val="8"/>
              </w:numPr>
              <w:tabs>
                <w:tab w:val="left" w:pos="107"/>
              </w:tabs>
              <w:ind w:left="0" w:firstLine="0"/>
              <w:rPr>
                <w:vanish/>
                <w:sz w:val="18"/>
              </w:rPr>
            </w:pPr>
            <w:r w:rsidRPr="00BC516E">
              <w:rPr>
                <w:vanish/>
                <w:sz w:val="18"/>
              </w:rPr>
              <w:t>białej:</w:t>
            </w:r>
          </w:p>
          <w:p w:rsidR="00A52CC6" w:rsidRPr="00BC516E" w:rsidRDefault="00277913" w:rsidP="00BC516E">
            <w:pPr>
              <w:pStyle w:val="TableParagraph"/>
              <w:numPr>
                <w:ilvl w:val="0"/>
                <w:numId w:val="8"/>
              </w:numPr>
              <w:tabs>
                <w:tab w:val="left" w:pos="107"/>
              </w:tabs>
              <w:ind w:left="0" w:firstLine="0"/>
              <w:rPr>
                <w:vanish/>
                <w:sz w:val="18"/>
              </w:rPr>
            </w:pPr>
            <w:r w:rsidRPr="00BC516E">
              <w:rPr>
                <w:vanish/>
                <w:sz w:val="18"/>
              </w:rPr>
              <w:t>żółtej tymczasowej</w:t>
            </w:r>
          </w:p>
        </w:tc>
        <w:tc>
          <w:tcPr>
            <w:tcW w:w="594" w:type="pct"/>
            <w:tcBorders>
              <w:top w:val="single" w:sz="2" w:space="0" w:color="000000"/>
            </w:tcBorders>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mcd/m</w:t>
            </w:r>
            <w:r w:rsidRPr="00BC516E">
              <w:rPr>
                <w:vanish/>
                <w:sz w:val="18"/>
                <w:vertAlign w:val="superscript"/>
              </w:rPr>
              <w:t>-2</w:t>
            </w:r>
            <w:r w:rsidRPr="00BC516E">
              <w:rPr>
                <w:vanish/>
                <w:sz w:val="18"/>
              </w:rPr>
              <w:t>lx</w:t>
            </w:r>
            <w:r w:rsidRPr="00BC516E">
              <w:rPr>
                <w:vanish/>
                <w:sz w:val="18"/>
                <w:vertAlign w:val="superscript"/>
              </w:rPr>
              <w:t>-1</w:t>
            </w:r>
            <w:r w:rsidRPr="00BC516E">
              <w:rPr>
                <w:vanish/>
                <w:sz w:val="18"/>
              </w:rPr>
              <w:t xml:space="preserve"> mcd/m-2lx-1</w:t>
            </w:r>
          </w:p>
        </w:tc>
        <w:tc>
          <w:tcPr>
            <w:tcW w:w="620" w:type="pct"/>
            <w:tcBorders>
              <w:top w:val="single" w:sz="2" w:space="0" w:color="000000"/>
            </w:tcBorders>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200</w:t>
            </w:r>
          </w:p>
          <w:p w:rsidR="00A52CC6" w:rsidRPr="00BC516E" w:rsidRDefault="00277913" w:rsidP="00BC516E">
            <w:pPr>
              <w:pStyle w:val="TableParagraph"/>
              <w:jc w:val="center"/>
              <w:rPr>
                <w:vanish/>
                <w:sz w:val="18"/>
              </w:rPr>
            </w:pPr>
            <w:r w:rsidRPr="00BC516E">
              <w:rPr>
                <w:vanish/>
                <w:sz w:val="18"/>
              </w:rPr>
              <w:t>≥ 150</w:t>
            </w:r>
          </w:p>
        </w:tc>
        <w:tc>
          <w:tcPr>
            <w:tcW w:w="872" w:type="pct"/>
            <w:tcBorders>
              <w:top w:val="single" w:sz="2" w:space="0" w:color="000000"/>
            </w:tcBorders>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R4 R3</w:t>
            </w:r>
          </w:p>
        </w:tc>
      </w:tr>
      <w:tr w:rsidR="00A52CC6" w:rsidRPr="00BC516E" w:rsidTr="001955B5">
        <w:trPr>
          <w:trHeight w:val="777"/>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2</w:t>
            </w:r>
          </w:p>
        </w:tc>
        <w:tc>
          <w:tcPr>
            <w:tcW w:w="2640" w:type="pct"/>
            <w:vAlign w:val="center"/>
          </w:tcPr>
          <w:p w:rsidR="00A52CC6" w:rsidRPr="00BC516E" w:rsidRDefault="00277913" w:rsidP="00BC516E">
            <w:pPr>
              <w:pStyle w:val="TableParagraph"/>
              <w:rPr>
                <w:vanish/>
                <w:sz w:val="18"/>
              </w:rPr>
            </w:pPr>
            <w:r w:rsidRPr="00BC516E">
              <w:rPr>
                <w:vanish/>
                <w:sz w:val="18"/>
              </w:rPr>
              <w:t>Współczynnik odblasku RL dla oznakowania suchego w okresie od 1 do 6 miesięcy po wykonaniu barwy:</w:t>
            </w:r>
          </w:p>
          <w:p w:rsidR="00A52CC6" w:rsidRPr="00BC516E" w:rsidRDefault="00277913" w:rsidP="00BC516E">
            <w:pPr>
              <w:pStyle w:val="TableParagraph"/>
              <w:numPr>
                <w:ilvl w:val="0"/>
                <w:numId w:val="7"/>
              </w:numPr>
              <w:tabs>
                <w:tab w:val="left" w:pos="107"/>
              </w:tabs>
              <w:ind w:left="0" w:firstLine="0"/>
              <w:rPr>
                <w:vanish/>
                <w:sz w:val="18"/>
              </w:rPr>
            </w:pPr>
            <w:r w:rsidRPr="00BC516E">
              <w:rPr>
                <w:vanish/>
                <w:sz w:val="18"/>
              </w:rPr>
              <w:t>białej:</w:t>
            </w:r>
          </w:p>
          <w:p w:rsidR="00A52CC6" w:rsidRPr="00BC516E" w:rsidRDefault="00277913" w:rsidP="00BC516E">
            <w:pPr>
              <w:pStyle w:val="TableParagraph"/>
              <w:numPr>
                <w:ilvl w:val="0"/>
                <w:numId w:val="7"/>
              </w:numPr>
              <w:tabs>
                <w:tab w:val="left" w:pos="107"/>
              </w:tabs>
              <w:ind w:left="0" w:firstLine="0"/>
              <w:rPr>
                <w:vanish/>
                <w:sz w:val="18"/>
              </w:rPr>
            </w:pPr>
            <w:r w:rsidRPr="00BC516E">
              <w:rPr>
                <w:vanish/>
                <w:sz w:val="18"/>
              </w:rPr>
              <w:t>żółtej tymczasowej</w:t>
            </w:r>
          </w:p>
        </w:tc>
        <w:tc>
          <w:tcPr>
            <w:tcW w:w="594"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mcd/m-2lx-1 mcd/m</w:t>
            </w:r>
            <w:r w:rsidRPr="00BC516E">
              <w:rPr>
                <w:vanish/>
                <w:sz w:val="18"/>
                <w:vertAlign w:val="superscript"/>
              </w:rPr>
              <w:t>-2</w:t>
            </w:r>
            <w:r w:rsidRPr="00BC516E">
              <w:rPr>
                <w:vanish/>
                <w:sz w:val="18"/>
              </w:rPr>
              <w:t>lx</w:t>
            </w:r>
            <w:r w:rsidRPr="00BC516E">
              <w:rPr>
                <w:vanish/>
                <w:sz w:val="18"/>
                <w:vertAlign w:val="superscript"/>
              </w:rPr>
              <w:t>-1</w:t>
            </w:r>
          </w:p>
        </w:tc>
        <w:tc>
          <w:tcPr>
            <w:tcW w:w="620"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150</w:t>
            </w:r>
          </w:p>
          <w:p w:rsidR="00A52CC6" w:rsidRPr="00BC516E" w:rsidRDefault="00277913" w:rsidP="00BC516E">
            <w:pPr>
              <w:pStyle w:val="TableParagraph"/>
              <w:jc w:val="center"/>
              <w:rPr>
                <w:vanish/>
                <w:sz w:val="18"/>
              </w:rPr>
            </w:pPr>
            <w:r w:rsidRPr="00BC516E">
              <w:rPr>
                <w:vanish/>
                <w:sz w:val="18"/>
              </w:rPr>
              <w:t>≥ 150</w:t>
            </w:r>
          </w:p>
        </w:tc>
        <w:tc>
          <w:tcPr>
            <w:tcW w:w="872"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R3 R2</w:t>
            </w:r>
          </w:p>
        </w:tc>
      </w:tr>
      <w:tr w:rsidR="00A52CC6" w:rsidRPr="00BC516E" w:rsidTr="001955B5">
        <w:trPr>
          <w:trHeight w:val="389"/>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3</w:t>
            </w:r>
          </w:p>
        </w:tc>
        <w:tc>
          <w:tcPr>
            <w:tcW w:w="2640" w:type="pct"/>
            <w:vAlign w:val="center"/>
          </w:tcPr>
          <w:p w:rsidR="00A52CC6" w:rsidRPr="00BC516E" w:rsidRDefault="00277913" w:rsidP="00BC516E">
            <w:pPr>
              <w:pStyle w:val="TableParagraph"/>
              <w:rPr>
                <w:vanish/>
                <w:sz w:val="18"/>
              </w:rPr>
            </w:pPr>
            <w:r w:rsidRPr="00BC516E">
              <w:rPr>
                <w:vanish/>
                <w:sz w:val="18"/>
              </w:rPr>
              <w:t>Współczynnik odblasku RL dla oznakowania suchego od 7 miesiąca po wykonaniu barwy białej</w:t>
            </w:r>
          </w:p>
        </w:tc>
        <w:tc>
          <w:tcPr>
            <w:tcW w:w="594" w:type="pct"/>
            <w:vAlign w:val="center"/>
          </w:tcPr>
          <w:p w:rsidR="00A52CC6" w:rsidRPr="00BC516E" w:rsidRDefault="00277913" w:rsidP="00BC516E">
            <w:pPr>
              <w:pStyle w:val="TableParagraph"/>
              <w:jc w:val="center"/>
              <w:rPr>
                <w:vanish/>
                <w:sz w:val="18"/>
              </w:rPr>
            </w:pPr>
            <w:r w:rsidRPr="00BC516E">
              <w:rPr>
                <w:vanish/>
                <w:sz w:val="18"/>
              </w:rPr>
              <w:t>mcd/m</w:t>
            </w:r>
            <w:r w:rsidRPr="00BC516E">
              <w:rPr>
                <w:vanish/>
                <w:sz w:val="18"/>
                <w:vertAlign w:val="superscript"/>
              </w:rPr>
              <w:t>-2</w:t>
            </w:r>
            <w:r w:rsidRPr="00BC516E">
              <w:rPr>
                <w:vanish/>
                <w:sz w:val="18"/>
              </w:rPr>
              <w:t xml:space="preserve"> lx</w:t>
            </w:r>
            <w:r w:rsidRPr="00BC516E">
              <w:rPr>
                <w:vanish/>
                <w:sz w:val="18"/>
                <w:vertAlign w:val="superscript"/>
              </w:rPr>
              <w:t>-1</w:t>
            </w:r>
          </w:p>
        </w:tc>
        <w:tc>
          <w:tcPr>
            <w:tcW w:w="620" w:type="pct"/>
            <w:vAlign w:val="center"/>
          </w:tcPr>
          <w:p w:rsidR="00A52CC6" w:rsidRPr="00BC516E" w:rsidRDefault="00277913" w:rsidP="00BC516E">
            <w:pPr>
              <w:pStyle w:val="TableParagraph"/>
              <w:jc w:val="center"/>
              <w:rPr>
                <w:vanish/>
                <w:sz w:val="18"/>
              </w:rPr>
            </w:pPr>
            <w:r w:rsidRPr="00BC516E">
              <w:rPr>
                <w:vanish/>
                <w:sz w:val="18"/>
              </w:rPr>
              <w:t>≥ 100</w:t>
            </w:r>
          </w:p>
        </w:tc>
        <w:tc>
          <w:tcPr>
            <w:tcW w:w="872" w:type="pct"/>
            <w:vAlign w:val="center"/>
          </w:tcPr>
          <w:p w:rsidR="00A52CC6" w:rsidRPr="00BC516E" w:rsidRDefault="00277913" w:rsidP="00BC516E">
            <w:pPr>
              <w:pStyle w:val="TableParagraph"/>
              <w:jc w:val="center"/>
              <w:rPr>
                <w:vanish/>
                <w:sz w:val="18"/>
              </w:rPr>
            </w:pPr>
            <w:r w:rsidRPr="00BC516E">
              <w:rPr>
                <w:vanish/>
                <w:sz w:val="18"/>
              </w:rPr>
              <w:t>R2</w:t>
            </w:r>
          </w:p>
        </w:tc>
      </w:tr>
      <w:tr w:rsidR="00A52CC6" w:rsidRPr="00BC516E" w:rsidTr="001955B5">
        <w:trPr>
          <w:trHeight w:val="580"/>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4</w:t>
            </w:r>
          </w:p>
        </w:tc>
        <w:tc>
          <w:tcPr>
            <w:tcW w:w="2640" w:type="pct"/>
            <w:vAlign w:val="center"/>
          </w:tcPr>
          <w:p w:rsidR="00A52CC6" w:rsidRPr="00BC516E" w:rsidRDefault="00277913" w:rsidP="00BC516E">
            <w:pPr>
              <w:pStyle w:val="TableParagraph"/>
              <w:rPr>
                <w:vanish/>
                <w:sz w:val="18"/>
              </w:rPr>
            </w:pPr>
            <w:r w:rsidRPr="00BC516E">
              <w:rPr>
                <w:vanish/>
                <w:sz w:val="18"/>
              </w:rPr>
              <w:t>Współczynnik odblasku RL dla grubowarstwowego strukturalnego oznakowania wilgotnego od 14 do 30 dnia</w:t>
            </w:r>
          </w:p>
          <w:p w:rsidR="00A52CC6" w:rsidRPr="00BC516E" w:rsidRDefault="00277913" w:rsidP="00BC516E">
            <w:pPr>
              <w:pStyle w:val="TableParagraph"/>
              <w:rPr>
                <w:vanish/>
                <w:sz w:val="18"/>
              </w:rPr>
            </w:pPr>
            <w:r w:rsidRPr="00BC516E">
              <w:rPr>
                <w:vanish/>
                <w:sz w:val="18"/>
              </w:rPr>
              <w:t>po wykonaniu, barwy białej</w:t>
            </w:r>
          </w:p>
        </w:tc>
        <w:tc>
          <w:tcPr>
            <w:tcW w:w="594"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mcd/m-2 lx-1</w:t>
            </w:r>
          </w:p>
        </w:tc>
        <w:tc>
          <w:tcPr>
            <w:tcW w:w="620"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50</w:t>
            </w:r>
          </w:p>
        </w:tc>
        <w:tc>
          <w:tcPr>
            <w:tcW w:w="872"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RW3</w:t>
            </w:r>
          </w:p>
        </w:tc>
      </w:tr>
      <w:tr w:rsidR="00A52CC6" w:rsidRPr="00BC516E" w:rsidTr="001955B5">
        <w:trPr>
          <w:trHeight w:val="584"/>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5</w:t>
            </w:r>
          </w:p>
        </w:tc>
        <w:tc>
          <w:tcPr>
            <w:tcW w:w="2640" w:type="pct"/>
            <w:vAlign w:val="center"/>
          </w:tcPr>
          <w:p w:rsidR="00A52CC6" w:rsidRPr="00BC516E" w:rsidRDefault="00277913" w:rsidP="00BC516E">
            <w:pPr>
              <w:pStyle w:val="TableParagraph"/>
              <w:rPr>
                <w:vanish/>
                <w:sz w:val="18"/>
              </w:rPr>
            </w:pPr>
            <w:r w:rsidRPr="00BC516E">
              <w:rPr>
                <w:vanish/>
                <w:sz w:val="18"/>
              </w:rPr>
              <w:t>Współczynnik odblasku RL dla grubowarstwowego</w:t>
            </w:r>
          </w:p>
          <w:p w:rsidR="00A52CC6" w:rsidRPr="00BC516E" w:rsidRDefault="00277913" w:rsidP="00BC516E">
            <w:pPr>
              <w:pStyle w:val="TableParagraph"/>
              <w:rPr>
                <w:vanish/>
                <w:sz w:val="18"/>
              </w:rPr>
            </w:pPr>
            <w:r w:rsidRPr="00BC516E">
              <w:rPr>
                <w:vanish/>
                <w:sz w:val="18"/>
              </w:rPr>
              <w:t>strukturalnego oznakowania wilgotnego po 30 dniu od wykonania, barwy białej</w:t>
            </w:r>
          </w:p>
        </w:tc>
        <w:tc>
          <w:tcPr>
            <w:tcW w:w="594"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mcd/m</w:t>
            </w:r>
            <w:r w:rsidRPr="00BC516E">
              <w:rPr>
                <w:vanish/>
                <w:sz w:val="18"/>
                <w:vertAlign w:val="superscript"/>
              </w:rPr>
              <w:t>-2</w:t>
            </w:r>
            <w:r w:rsidRPr="00BC516E">
              <w:rPr>
                <w:vanish/>
                <w:sz w:val="18"/>
              </w:rPr>
              <w:t xml:space="preserve"> lx</w:t>
            </w:r>
            <w:r w:rsidRPr="00BC516E">
              <w:rPr>
                <w:vanish/>
                <w:sz w:val="18"/>
                <w:vertAlign w:val="superscript"/>
              </w:rPr>
              <w:t>-1</w:t>
            </w:r>
          </w:p>
        </w:tc>
        <w:tc>
          <w:tcPr>
            <w:tcW w:w="620"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35</w:t>
            </w:r>
          </w:p>
        </w:tc>
        <w:tc>
          <w:tcPr>
            <w:tcW w:w="872"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RW2</w:t>
            </w:r>
          </w:p>
        </w:tc>
      </w:tr>
      <w:tr w:rsidR="00A52CC6" w:rsidRPr="00BC516E" w:rsidTr="001955B5">
        <w:trPr>
          <w:trHeight w:val="776"/>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6</w:t>
            </w:r>
          </w:p>
        </w:tc>
        <w:tc>
          <w:tcPr>
            <w:tcW w:w="2640" w:type="pct"/>
            <w:vAlign w:val="center"/>
          </w:tcPr>
          <w:p w:rsidR="00A52CC6" w:rsidRPr="00BC516E" w:rsidRDefault="00277913" w:rsidP="00BC516E">
            <w:pPr>
              <w:pStyle w:val="TableParagraph"/>
              <w:rPr>
                <w:vanish/>
                <w:sz w:val="18"/>
              </w:rPr>
            </w:pPr>
            <w:r w:rsidRPr="00BC516E">
              <w:rPr>
                <w:vanish/>
                <w:sz w:val="18"/>
              </w:rPr>
              <w:t>Współczynnik luminancji ß dla oznakowania nowego (od 14 do 30 dnia po wykonaniu) barwy:</w:t>
            </w:r>
          </w:p>
          <w:p w:rsidR="00A52CC6" w:rsidRPr="00BC516E" w:rsidRDefault="00277913" w:rsidP="00BC516E">
            <w:pPr>
              <w:pStyle w:val="TableParagraph"/>
              <w:numPr>
                <w:ilvl w:val="0"/>
                <w:numId w:val="6"/>
              </w:numPr>
              <w:tabs>
                <w:tab w:val="left" w:pos="107"/>
              </w:tabs>
              <w:ind w:left="0" w:firstLine="0"/>
              <w:rPr>
                <w:vanish/>
                <w:sz w:val="18"/>
              </w:rPr>
            </w:pPr>
            <w:r w:rsidRPr="00BC516E">
              <w:rPr>
                <w:vanish/>
                <w:sz w:val="18"/>
              </w:rPr>
              <w:t>białej:</w:t>
            </w:r>
          </w:p>
          <w:p w:rsidR="00A52CC6" w:rsidRPr="00BC516E" w:rsidRDefault="00277913" w:rsidP="00BC516E">
            <w:pPr>
              <w:pStyle w:val="TableParagraph"/>
              <w:numPr>
                <w:ilvl w:val="0"/>
                <w:numId w:val="6"/>
              </w:numPr>
              <w:tabs>
                <w:tab w:val="left" w:pos="107"/>
              </w:tabs>
              <w:ind w:left="0" w:firstLine="0"/>
              <w:rPr>
                <w:vanish/>
                <w:sz w:val="18"/>
              </w:rPr>
            </w:pPr>
            <w:r w:rsidRPr="00BC516E">
              <w:rPr>
                <w:vanish/>
                <w:sz w:val="18"/>
              </w:rPr>
              <w:t>żółtej tymczasowej</w:t>
            </w:r>
          </w:p>
        </w:tc>
        <w:tc>
          <w:tcPr>
            <w:tcW w:w="594"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w:t>
            </w:r>
          </w:p>
          <w:p w:rsidR="00A52CC6" w:rsidRPr="00BC516E" w:rsidRDefault="00277913" w:rsidP="00BC516E">
            <w:pPr>
              <w:pStyle w:val="TableParagraph"/>
              <w:jc w:val="center"/>
              <w:rPr>
                <w:vanish/>
                <w:sz w:val="18"/>
              </w:rPr>
            </w:pPr>
            <w:r w:rsidRPr="00BC516E">
              <w:rPr>
                <w:vanish/>
                <w:sz w:val="18"/>
              </w:rPr>
              <w:t>-</w:t>
            </w:r>
          </w:p>
        </w:tc>
        <w:tc>
          <w:tcPr>
            <w:tcW w:w="620"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0,40</w:t>
            </w:r>
          </w:p>
          <w:p w:rsidR="00A52CC6" w:rsidRPr="00BC516E" w:rsidRDefault="00277913" w:rsidP="00BC516E">
            <w:pPr>
              <w:pStyle w:val="TableParagraph"/>
              <w:jc w:val="center"/>
              <w:rPr>
                <w:vanish/>
                <w:sz w:val="18"/>
              </w:rPr>
            </w:pPr>
            <w:r w:rsidRPr="00BC516E">
              <w:rPr>
                <w:vanish/>
                <w:sz w:val="18"/>
              </w:rPr>
              <w:t>≥ 0,30</w:t>
            </w:r>
          </w:p>
        </w:tc>
        <w:tc>
          <w:tcPr>
            <w:tcW w:w="872"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B3 B2</w:t>
            </w:r>
          </w:p>
        </w:tc>
      </w:tr>
      <w:tr w:rsidR="00A52CC6" w:rsidRPr="00BC516E" w:rsidTr="001955B5">
        <w:trPr>
          <w:trHeight w:val="775"/>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7</w:t>
            </w:r>
          </w:p>
        </w:tc>
        <w:tc>
          <w:tcPr>
            <w:tcW w:w="2640" w:type="pct"/>
            <w:vAlign w:val="center"/>
          </w:tcPr>
          <w:p w:rsidR="00A52CC6" w:rsidRPr="00BC516E" w:rsidRDefault="00277913" w:rsidP="00BC516E">
            <w:pPr>
              <w:pStyle w:val="TableParagraph"/>
              <w:rPr>
                <w:vanish/>
                <w:sz w:val="18"/>
              </w:rPr>
            </w:pPr>
            <w:r w:rsidRPr="00BC516E">
              <w:rPr>
                <w:vanish/>
                <w:sz w:val="18"/>
              </w:rPr>
              <w:t>Współczynnik luminancji ß dla oznakowania eksploatowanego (po 30 dniu od wykonania) barwy:</w:t>
            </w:r>
          </w:p>
          <w:p w:rsidR="00A52CC6" w:rsidRPr="00BC516E" w:rsidRDefault="00277913" w:rsidP="00BC516E">
            <w:pPr>
              <w:pStyle w:val="TableParagraph"/>
              <w:numPr>
                <w:ilvl w:val="0"/>
                <w:numId w:val="5"/>
              </w:numPr>
              <w:tabs>
                <w:tab w:val="left" w:pos="107"/>
              </w:tabs>
              <w:ind w:left="0" w:firstLine="0"/>
              <w:rPr>
                <w:vanish/>
                <w:sz w:val="18"/>
              </w:rPr>
            </w:pPr>
            <w:r w:rsidRPr="00BC516E">
              <w:rPr>
                <w:vanish/>
                <w:sz w:val="18"/>
              </w:rPr>
              <w:t>białej:</w:t>
            </w:r>
          </w:p>
          <w:p w:rsidR="00A52CC6" w:rsidRPr="00BC516E" w:rsidRDefault="00277913" w:rsidP="00BC516E">
            <w:pPr>
              <w:pStyle w:val="TableParagraph"/>
              <w:numPr>
                <w:ilvl w:val="0"/>
                <w:numId w:val="5"/>
              </w:numPr>
              <w:tabs>
                <w:tab w:val="left" w:pos="107"/>
              </w:tabs>
              <w:ind w:left="0" w:firstLine="0"/>
              <w:rPr>
                <w:vanish/>
                <w:sz w:val="18"/>
              </w:rPr>
            </w:pPr>
            <w:r w:rsidRPr="00BC516E">
              <w:rPr>
                <w:vanish/>
                <w:sz w:val="18"/>
              </w:rPr>
              <w:t>żółtej tymczasowej</w:t>
            </w:r>
          </w:p>
        </w:tc>
        <w:tc>
          <w:tcPr>
            <w:tcW w:w="594"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w:t>
            </w:r>
          </w:p>
          <w:p w:rsidR="00A52CC6" w:rsidRPr="00BC516E" w:rsidRDefault="00277913" w:rsidP="00BC516E">
            <w:pPr>
              <w:pStyle w:val="TableParagraph"/>
              <w:jc w:val="center"/>
              <w:rPr>
                <w:vanish/>
                <w:sz w:val="18"/>
              </w:rPr>
            </w:pPr>
            <w:r w:rsidRPr="00BC516E">
              <w:rPr>
                <w:vanish/>
                <w:sz w:val="18"/>
              </w:rPr>
              <w:t>-</w:t>
            </w:r>
          </w:p>
        </w:tc>
        <w:tc>
          <w:tcPr>
            <w:tcW w:w="620"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0,30</w:t>
            </w:r>
          </w:p>
          <w:p w:rsidR="00A52CC6" w:rsidRPr="00BC516E" w:rsidRDefault="00277913" w:rsidP="00BC516E">
            <w:pPr>
              <w:pStyle w:val="TableParagraph"/>
              <w:jc w:val="center"/>
              <w:rPr>
                <w:vanish/>
                <w:sz w:val="18"/>
              </w:rPr>
            </w:pPr>
            <w:r w:rsidRPr="00BC516E">
              <w:rPr>
                <w:vanish/>
                <w:sz w:val="18"/>
              </w:rPr>
              <w:t>≥ 0,20</w:t>
            </w:r>
          </w:p>
        </w:tc>
        <w:tc>
          <w:tcPr>
            <w:tcW w:w="872"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B2 B1</w:t>
            </w:r>
          </w:p>
        </w:tc>
      </w:tr>
      <w:tr w:rsidR="00A52CC6" w:rsidRPr="00BC516E" w:rsidTr="001955B5">
        <w:trPr>
          <w:trHeight w:val="968"/>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8</w:t>
            </w:r>
          </w:p>
        </w:tc>
        <w:tc>
          <w:tcPr>
            <w:tcW w:w="2640" w:type="pct"/>
            <w:vAlign w:val="center"/>
          </w:tcPr>
          <w:p w:rsidR="00A52CC6" w:rsidRPr="00BC516E" w:rsidRDefault="00277913" w:rsidP="00BC516E">
            <w:pPr>
              <w:pStyle w:val="TableParagraph"/>
              <w:rPr>
                <w:vanish/>
                <w:sz w:val="18"/>
              </w:rPr>
            </w:pPr>
            <w:r w:rsidRPr="00BC516E">
              <w:rPr>
                <w:vanish/>
                <w:sz w:val="18"/>
              </w:rPr>
              <w:t>Współczynnik luminancji w świetle rozproszonym Qd (alternatywnie do ß) dla oznakowania nowego w ciągu od 14 do 30 dnia po wykonaniu barwy:</w:t>
            </w:r>
          </w:p>
          <w:p w:rsidR="00A52CC6" w:rsidRPr="00BC516E" w:rsidRDefault="00277913" w:rsidP="00BC516E">
            <w:pPr>
              <w:pStyle w:val="TableParagraph"/>
              <w:numPr>
                <w:ilvl w:val="0"/>
                <w:numId w:val="4"/>
              </w:numPr>
              <w:tabs>
                <w:tab w:val="left" w:pos="107"/>
              </w:tabs>
              <w:ind w:left="0" w:firstLine="0"/>
              <w:rPr>
                <w:vanish/>
                <w:sz w:val="18"/>
              </w:rPr>
            </w:pPr>
            <w:r w:rsidRPr="00BC516E">
              <w:rPr>
                <w:vanish/>
                <w:sz w:val="18"/>
              </w:rPr>
              <w:t>białej:</w:t>
            </w:r>
          </w:p>
          <w:p w:rsidR="00A52CC6" w:rsidRPr="00BC516E" w:rsidRDefault="00277913" w:rsidP="00BC516E">
            <w:pPr>
              <w:pStyle w:val="TableParagraph"/>
              <w:numPr>
                <w:ilvl w:val="0"/>
                <w:numId w:val="4"/>
              </w:numPr>
              <w:tabs>
                <w:tab w:val="left" w:pos="107"/>
              </w:tabs>
              <w:ind w:left="0" w:firstLine="0"/>
              <w:rPr>
                <w:vanish/>
                <w:sz w:val="18"/>
              </w:rPr>
            </w:pPr>
            <w:r w:rsidRPr="00BC516E">
              <w:rPr>
                <w:vanish/>
                <w:sz w:val="18"/>
              </w:rPr>
              <w:t>żółtej tymczasowej</w:t>
            </w:r>
          </w:p>
        </w:tc>
        <w:tc>
          <w:tcPr>
            <w:tcW w:w="594"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mcd/m</w:t>
            </w:r>
            <w:r w:rsidRPr="00BC516E">
              <w:rPr>
                <w:vanish/>
                <w:sz w:val="18"/>
                <w:vertAlign w:val="superscript"/>
              </w:rPr>
              <w:t>-2</w:t>
            </w:r>
            <w:r w:rsidRPr="00BC516E">
              <w:rPr>
                <w:vanish/>
                <w:sz w:val="18"/>
              </w:rPr>
              <w:t xml:space="preserve"> lx</w:t>
            </w:r>
            <w:r w:rsidRPr="00BC516E">
              <w:rPr>
                <w:vanish/>
                <w:sz w:val="18"/>
                <w:vertAlign w:val="superscript"/>
              </w:rPr>
              <w:t>-1</w:t>
            </w:r>
            <w:r w:rsidRPr="00BC516E">
              <w:rPr>
                <w:vanish/>
                <w:sz w:val="18"/>
              </w:rPr>
              <w:t xml:space="preserve"> mcd/m-2 lx-1</w:t>
            </w:r>
          </w:p>
        </w:tc>
        <w:tc>
          <w:tcPr>
            <w:tcW w:w="620"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130</w:t>
            </w:r>
          </w:p>
          <w:p w:rsidR="00A52CC6" w:rsidRPr="00BC516E" w:rsidRDefault="00277913" w:rsidP="00BC516E">
            <w:pPr>
              <w:pStyle w:val="TableParagraph"/>
              <w:jc w:val="center"/>
              <w:rPr>
                <w:vanish/>
                <w:sz w:val="18"/>
              </w:rPr>
            </w:pPr>
            <w:r w:rsidRPr="00BC516E">
              <w:rPr>
                <w:vanish/>
                <w:sz w:val="18"/>
              </w:rPr>
              <w:t>≥ 100</w:t>
            </w:r>
          </w:p>
        </w:tc>
        <w:tc>
          <w:tcPr>
            <w:tcW w:w="872"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Q3 Q2</w:t>
            </w:r>
          </w:p>
        </w:tc>
      </w:tr>
      <w:tr w:rsidR="00A52CC6" w:rsidRPr="00BC516E" w:rsidTr="001955B5">
        <w:trPr>
          <w:trHeight w:val="1166"/>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9</w:t>
            </w:r>
          </w:p>
        </w:tc>
        <w:tc>
          <w:tcPr>
            <w:tcW w:w="2640" w:type="pct"/>
            <w:vAlign w:val="center"/>
          </w:tcPr>
          <w:p w:rsidR="00A52CC6" w:rsidRPr="00BC516E" w:rsidRDefault="00277913" w:rsidP="00BC516E">
            <w:pPr>
              <w:pStyle w:val="TableParagraph"/>
              <w:rPr>
                <w:vanish/>
                <w:sz w:val="18"/>
              </w:rPr>
            </w:pPr>
            <w:r w:rsidRPr="00BC516E">
              <w:rPr>
                <w:vanish/>
                <w:sz w:val="18"/>
              </w:rPr>
              <w:t>Współczynnik luminancji w świetle rozproszonym Qd (alternatywnie do ß) dla oznakowania eksploatowanego w ciągu całego okresu eksploatacji po 30 dniu od wykonania barwy:</w:t>
            </w:r>
          </w:p>
          <w:p w:rsidR="00A52CC6" w:rsidRPr="00BC516E" w:rsidRDefault="00277913" w:rsidP="00BC516E">
            <w:pPr>
              <w:pStyle w:val="TableParagraph"/>
              <w:numPr>
                <w:ilvl w:val="0"/>
                <w:numId w:val="3"/>
              </w:numPr>
              <w:tabs>
                <w:tab w:val="left" w:pos="107"/>
              </w:tabs>
              <w:ind w:left="0" w:firstLine="0"/>
              <w:rPr>
                <w:vanish/>
                <w:sz w:val="18"/>
              </w:rPr>
            </w:pPr>
            <w:r w:rsidRPr="00BC516E">
              <w:rPr>
                <w:vanish/>
                <w:sz w:val="18"/>
              </w:rPr>
              <w:t>białej:</w:t>
            </w:r>
          </w:p>
          <w:p w:rsidR="00A52CC6" w:rsidRPr="00BC516E" w:rsidRDefault="00277913" w:rsidP="00BC516E">
            <w:pPr>
              <w:pStyle w:val="TableParagraph"/>
              <w:numPr>
                <w:ilvl w:val="0"/>
                <w:numId w:val="3"/>
              </w:numPr>
              <w:tabs>
                <w:tab w:val="left" w:pos="107"/>
              </w:tabs>
              <w:ind w:left="0" w:firstLine="0"/>
              <w:rPr>
                <w:vanish/>
                <w:sz w:val="18"/>
              </w:rPr>
            </w:pPr>
            <w:r w:rsidRPr="00BC516E">
              <w:rPr>
                <w:vanish/>
                <w:sz w:val="18"/>
              </w:rPr>
              <w:t>żółtej tymczasowej</w:t>
            </w:r>
          </w:p>
        </w:tc>
        <w:tc>
          <w:tcPr>
            <w:tcW w:w="594"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mcd/m-2 lx-1 mcd/m-2 lx-1</w:t>
            </w:r>
          </w:p>
        </w:tc>
        <w:tc>
          <w:tcPr>
            <w:tcW w:w="620"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100</w:t>
            </w:r>
          </w:p>
          <w:p w:rsidR="00A52CC6" w:rsidRPr="00BC516E" w:rsidRDefault="00277913" w:rsidP="00BC516E">
            <w:pPr>
              <w:pStyle w:val="TableParagraph"/>
              <w:jc w:val="center"/>
              <w:rPr>
                <w:vanish/>
                <w:sz w:val="18"/>
              </w:rPr>
            </w:pPr>
            <w:r w:rsidRPr="00BC516E">
              <w:rPr>
                <w:vanish/>
                <w:sz w:val="18"/>
              </w:rPr>
              <w:t>≥ 80</w:t>
            </w:r>
          </w:p>
        </w:tc>
        <w:tc>
          <w:tcPr>
            <w:tcW w:w="872" w:type="pct"/>
            <w:vAlign w:val="center"/>
          </w:tcPr>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Q2 Q1</w:t>
            </w:r>
          </w:p>
        </w:tc>
      </w:tr>
      <w:tr w:rsidR="00A52CC6" w:rsidRPr="00BC516E" w:rsidTr="001955B5">
        <w:trPr>
          <w:trHeight w:val="387"/>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10</w:t>
            </w:r>
          </w:p>
        </w:tc>
        <w:tc>
          <w:tcPr>
            <w:tcW w:w="2640" w:type="pct"/>
            <w:vAlign w:val="center"/>
          </w:tcPr>
          <w:p w:rsidR="00A52CC6" w:rsidRPr="00BC516E" w:rsidRDefault="00277913" w:rsidP="00BC516E">
            <w:pPr>
              <w:pStyle w:val="TableParagraph"/>
              <w:rPr>
                <w:vanish/>
                <w:sz w:val="18"/>
              </w:rPr>
            </w:pPr>
            <w:r w:rsidRPr="00BC516E">
              <w:rPr>
                <w:vanish/>
                <w:sz w:val="18"/>
              </w:rPr>
              <w:t>Szorstkość oznakowania eksploatowanego</w:t>
            </w:r>
          </w:p>
        </w:tc>
        <w:tc>
          <w:tcPr>
            <w:tcW w:w="594" w:type="pct"/>
            <w:vAlign w:val="center"/>
          </w:tcPr>
          <w:p w:rsidR="00A52CC6" w:rsidRPr="00BC516E" w:rsidRDefault="00277913" w:rsidP="00BC516E">
            <w:pPr>
              <w:pStyle w:val="TableParagraph"/>
              <w:jc w:val="center"/>
              <w:rPr>
                <w:vanish/>
                <w:sz w:val="18"/>
              </w:rPr>
            </w:pPr>
            <w:r w:rsidRPr="00BC516E">
              <w:rPr>
                <w:vanish/>
                <w:sz w:val="18"/>
              </w:rPr>
              <w:t>Wskaźnik SRT</w:t>
            </w:r>
          </w:p>
        </w:tc>
        <w:tc>
          <w:tcPr>
            <w:tcW w:w="620" w:type="pct"/>
            <w:vAlign w:val="center"/>
          </w:tcPr>
          <w:p w:rsidR="00A52CC6" w:rsidRPr="00BC516E" w:rsidRDefault="00277913" w:rsidP="00BC516E">
            <w:pPr>
              <w:pStyle w:val="TableParagraph"/>
              <w:jc w:val="center"/>
              <w:rPr>
                <w:vanish/>
                <w:sz w:val="18"/>
              </w:rPr>
            </w:pPr>
            <w:r w:rsidRPr="00BC516E">
              <w:rPr>
                <w:vanish/>
                <w:sz w:val="18"/>
              </w:rPr>
              <w:t>≥ 45</w:t>
            </w:r>
          </w:p>
        </w:tc>
        <w:tc>
          <w:tcPr>
            <w:tcW w:w="872" w:type="pct"/>
            <w:vAlign w:val="center"/>
          </w:tcPr>
          <w:p w:rsidR="00A52CC6" w:rsidRPr="00BC516E" w:rsidRDefault="00277913" w:rsidP="00BC516E">
            <w:pPr>
              <w:pStyle w:val="TableParagraph"/>
              <w:jc w:val="center"/>
              <w:rPr>
                <w:vanish/>
                <w:sz w:val="18"/>
              </w:rPr>
            </w:pPr>
            <w:r w:rsidRPr="00BC516E">
              <w:rPr>
                <w:vanish/>
                <w:sz w:val="18"/>
              </w:rPr>
              <w:t>S1</w:t>
            </w:r>
          </w:p>
        </w:tc>
      </w:tr>
      <w:tr w:rsidR="00A52CC6" w:rsidRPr="00BC516E" w:rsidTr="001955B5">
        <w:trPr>
          <w:trHeight w:val="385"/>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11</w:t>
            </w:r>
          </w:p>
        </w:tc>
        <w:tc>
          <w:tcPr>
            <w:tcW w:w="2640" w:type="pct"/>
            <w:vAlign w:val="center"/>
          </w:tcPr>
          <w:p w:rsidR="00A52CC6" w:rsidRPr="00BC516E" w:rsidRDefault="00277913" w:rsidP="00BC516E">
            <w:pPr>
              <w:pStyle w:val="TableParagraph"/>
              <w:rPr>
                <w:vanish/>
                <w:sz w:val="18"/>
              </w:rPr>
            </w:pPr>
            <w:r w:rsidRPr="00BC516E">
              <w:rPr>
                <w:vanish/>
                <w:sz w:val="18"/>
              </w:rPr>
              <w:t>Trwałość oznakowania cienkowarstwowego po 12</w:t>
            </w:r>
          </w:p>
          <w:p w:rsidR="00A52CC6" w:rsidRPr="00BC516E" w:rsidRDefault="00277913" w:rsidP="00BC516E">
            <w:pPr>
              <w:pStyle w:val="TableParagraph"/>
              <w:rPr>
                <w:vanish/>
                <w:sz w:val="18"/>
              </w:rPr>
            </w:pPr>
            <w:r w:rsidRPr="00BC516E">
              <w:rPr>
                <w:vanish/>
                <w:sz w:val="18"/>
              </w:rPr>
              <w:t>miesiącach:</w:t>
            </w:r>
          </w:p>
        </w:tc>
        <w:tc>
          <w:tcPr>
            <w:tcW w:w="594" w:type="pct"/>
            <w:vAlign w:val="center"/>
          </w:tcPr>
          <w:p w:rsidR="00A52CC6" w:rsidRPr="00BC516E" w:rsidRDefault="00277913" w:rsidP="00BC516E">
            <w:pPr>
              <w:pStyle w:val="TableParagraph"/>
              <w:jc w:val="center"/>
              <w:rPr>
                <w:vanish/>
                <w:sz w:val="18"/>
              </w:rPr>
            </w:pPr>
            <w:r w:rsidRPr="00BC516E">
              <w:rPr>
                <w:vanish/>
                <w:sz w:val="18"/>
              </w:rPr>
              <w:t>Skala LCPC</w:t>
            </w:r>
          </w:p>
        </w:tc>
        <w:tc>
          <w:tcPr>
            <w:tcW w:w="620" w:type="pct"/>
            <w:vAlign w:val="center"/>
          </w:tcPr>
          <w:p w:rsidR="00A52CC6" w:rsidRPr="00BC516E" w:rsidRDefault="00277913" w:rsidP="00BC516E">
            <w:pPr>
              <w:pStyle w:val="TableParagraph"/>
              <w:jc w:val="center"/>
              <w:rPr>
                <w:vanish/>
                <w:sz w:val="18"/>
              </w:rPr>
            </w:pPr>
            <w:r w:rsidRPr="00BC516E">
              <w:rPr>
                <w:vanish/>
                <w:sz w:val="18"/>
              </w:rPr>
              <w:t>≥ 6</w:t>
            </w:r>
          </w:p>
        </w:tc>
        <w:tc>
          <w:tcPr>
            <w:tcW w:w="872" w:type="pct"/>
            <w:vAlign w:val="center"/>
          </w:tcPr>
          <w:p w:rsidR="00A52CC6" w:rsidRPr="00BC516E" w:rsidRDefault="00277913" w:rsidP="00BC516E">
            <w:pPr>
              <w:pStyle w:val="TableParagraph"/>
              <w:jc w:val="center"/>
              <w:rPr>
                <w:vanish/>
                <w:sz w:val="18"/>
              </w:rPr>
            </w:pPr>
            <w:r w:rsidRPr="00BC516E">
              <w:rPr>
                <w:vanish/>
                <w:sz w:val="18"/>
              </w:rPr>
              <w:t>-</w:t>
            </w:r>
          </w:p>
        </w:tc>
      </w:tr>
      <w:tr w:rsidR="00A52CC6" w:rsidRPr="00BC516E" w:rsidTr="001955B5">
        <w:trPr>
          <w:trHeight w:val="582"/>
          <w:jc w:val="center"/>
          <w:hidden/>
        </w:trPr>
        <w:tc>
          <w:tcPr>
            <w:tcW w:w="274" w:type="pct"/>
            <w:vAlign w:val="center"/>
          </w:tcPr>
          <w:p w:rsidR="00A52CC6" w:rsidRPr="00BC516E" w:rsidRDefault="00277913" w:rsidP="00BC516E">
            <w:pPr>
              <w:pStyle w:val="TableParagraph"/>
              <w:jc w:val="center"/>
              <w:rPr>
                <w:vanish/>
                <w:sz w:val="18"/>
              </w:rPr>
            </w:pPr>
            <w:r w:rsidRPr="00BC516E">
              <w:rPr>
                <w:vanish/>
                <w:sz w:val="18"/>
              </w:rPr>
              <w:t>12</w:t>
            </w:r>
          </w:p>
        </w:tc>
        <w:tc>
          <w:tcPr>
            <w:tcW w:w="2640" w:type="pct"/>
            <w:vAlign w:val="center"/>
          </w:tcPr>
          <w:p w:rsidR="00A52CC6" w:rsidRPr="00BC516E" w:rsidRDefault="00277913" w:rsidP="00BC516E">
            <w:pPr>
              <w:pStyle w:val="TableParagraph"/>
              <w:rPr>
                <w:vanish/>
                <w:sz w:val="18"/>
              </w:rPr>
            </w:pPr>
            <w:r w:rsidRPr="00BC516E">
              <w:rPr>
                <w:vanish/>
                <w:sz w:val="18"/>
              </w:rPr>
              <w:t>Czas schnięcia materiału na nawierzchni</w:t>
            </w:r>
          </w:p>
          <w:p w:rsidR="00A52CC6" w:rsidRPr="00BC516E" w:rsidRDefault="00277913" w:rsidP="00BC516E">
            <w:pPr>
              <w:pStyle w:val="TableParagraph"/>
              <w:numPr>
                <w:ilvl w:val="0"/>
                <w:numId w:val="2"/>
              </w:numPr>
              <w:tabs>
                <w:tab w:val="left" w:pos="174"/>
              </w:tabs>
              <w:ind w:left="0" w:firstLine="0"/>
              <w:rPr>
                <w:vanish/>
                <w:sz w:val="18"/>
              </w:rPr>
            </w:pPr>
            <w:r w:rsidRPr="00BC516E">
              <w:rPr>
                <w:vanish/>
                <w:sz w:val="18"/>
              </w:rPr>
              <w:t>w dzień</w:t>
            </w:r>
          </w:p>
          <w:p w:rsidR="00A52CC6" w:rsidRPr="00BC516E" w:rsidRDefault="00277913" w:rsidP="00BC516E">
            <w:pPr>
              <w:pStyle w:val="TableParagraph"/>
              <w:numPr>
                <w:ilvl w:val="0"/>
                <w:numId w:val="2"/>
              </w:numPr>
              <w:tabs>
                <w:tab w:val="left" w:pos="174"/>
              </w:tabs>
              <w:ind w:left="0" w:firstLine="0"/>
              <w:rPr>
                <w:vanish/>
                <w:sz w:val="18"/>
              </w:rPr>
            </w:pPr>
            <w:r w:rsidRPr="00BC516E">
              <w:rPr>
                <w:vanish/>
                <w:sz w:val="18"/>
              </w:rPr>
              <w:t>w nocy</w:t>
            </w:r>
          </w:p>
        </w:tc>
        <w:tc>
          <w:tcPr>
            <w:tcW w:w="594"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 xml:space="preserve">h </w:t>
            </w:r>
            <w:proofErr w:type="spellStart"/>
            <w:r w:rsidRPr="00BC516E">
              <w:rPr>
                <w:vanish/>
                <w:sz w:val="18"/>
              </w:rPr>
              <w:t>h</w:t>
            </w:r>
            <w:proofErr w:type="spellEnd"/>
          </w:p>
        </w:tc>
        <w:tc>
          <w:tcPr>
            <w:tcW w:w="620"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≤1</w:t>
            </w:r>
          </w:p>
          <w:p w:rsidR="00A52CC6" w:rsidRPr="00BC516E" w:rsidRDefault="00277913" w:rsidP="00BC516E">
            <w:pPr>
              <w:pStyle w:val="TableParagraph"/>
              <w:jc w:val="center"/>
              <w:rPr>
                <w:vanish/>
                <w:sz w:val="18"/>
              </w:rPr>
            </w:pPr>
            <w:r w:rsidRPr="00BC516E">
              <w:rPr>
                <w:vanish/>
                <w:sz w:val="18"/>
              </w:rPr>
              <w:t>≤2</w:t>
            </w:r>
          </w:p>
        </w:tc>
        <w:tc>
          <w:tcPr>
            <w:tcW w:w="872" w:type="pct"/>
            <w:vAlign w:val="center"/>
          </w:tcPr>
          <w:p w:rsidR="00A52CC6" w:rsidRPr="00BC516E" w:rsidRDefault="00A52CC6" w:rsidP="00BC516E">
            <w:pPr>
              <w:pStyle w:val="TableParagraph"/>
              <w:jc w:val="center"/>
              <w:rPr>
                <w:vanish/>
                <w:sz w:val="18"/>
              </w:rPr>
            </w:pPr>
          </w:p>
          <w:p w:rsidR="00A52CC6" w:rsidRPr="00BC516E" w:rsidRDefault="00277913" w:rsidP="00BC516E">
            <w:pPr>
              <w:pStyle w:val="TableParagraph"/>
              <w:jc w:val="center"/>
              <w:rPr>
                <w:vanish/>
                <w:sz w:val="18"/>
              </w:rPr>
            </w:pPr>
            <w:r w:rsidRPr="00BC516E">
              <w:rPr>
                <w:vanish/>
                <w:sz w:val="18"/>
              </w:rPr>
              <w:t>-</w:t>
            </w:r>
          </w:p>
          <w:p w:rsidR="00A52CC6" w:rsidRPr="00BC516E" w:rsidRDefault="00277913" w:rsidP="00BC516E">
            <w:pPr>
              <w:pStyle w:val="TableParagraph"/>
              <w:jc w:val="center"/>
              <w:rPr>
                <w:vanish/>
                <w:sz w:val="18"/>
              </w:rPr>
            </w:pPr>
            <w:r w:rsidRPr="00BC516E">
              <w:rPr>
                <w:vanish/>
                <w:sz w:val="18"/>
              </w:rPr>
              <w:t>-</w:t>
            </w:r>
          </w:p>
        </w:tc>
      </w:tr>
    </w:tbl>
    <w:p w:rsidR="00A52CC6" w:rsidRPr="00B20401" w:rsidRDefault="00277913" w:rsidP="00EA0247">
      <w:pPr>
        <w:pStyle w:val="Nagwek1"/>
        <w:numPr>
          <w:ilvl w:val="1"/>
          <w:numId w:val="24"/>
        </w:numPr>
        <w:spacing w:before="120" w:after="120"/>
        <w:ind w:left="0" w:firstLine="0"/>
        <w:rPr>
          <w:sz w:val="20"/>
        </w:rPr>
      </w:pPr>
      <w:r w:rsidRPr="00B20401">
        <w:rPr>
          <w:sz w:val="20"/>
        </w:rPr>
        <w:t>Tolerancje wymiarów oznakowania</w:t>
      </w:r>
    </w:p>
    <w:p w:rsidR="00A52CC6" w:rsidRPr="00B20401" w:rsidRDefault="00277913" w:rsidP="00EA0247">
      <w:pPr>
        <w:pStyle w:val="Nagwek1"/>
        <w:numPr>
          <w:ilvl w:val="2"/>
          <w:numId w:val="24"/>
        </w:numPr>
        <w:spacing w:before="120" w:after="120"/>
        <w:ind w:left="0" w:firstLine="0"/>
        <w:rPr>
          <w:sz w:val="20"/>
        </w:rPr>
      </w:pPr>
      <w:r w:rsidRPr="00B20401">
        <w:rPr>
          <w:sz w:val="20"/>
        </w:rPr>
        <w:lastRenderedPageBreak/>
        <w:t>Tolerancje nowo wykonanego oznakowania</w:t>
      </w:r>
    </w:p>
    <w:p w:rsidR="00A52CC6" w:rsidRDefault="00643511" w:rsidP="001955B5">
      <w:pPr>
        <w:pStyle w:val="Tekstpodstawowy"/>
      </w:pPr>
      <w:r>
        <w:t>Tolerancje nowo wykonanego oznakowania poziomego, zgodnego z PFU, Dokumentami Wykonawcy oraz z</w:t>
      </w:r>
      <w:r w:rsidR="00277913">
        <w:rPr>
          <w:spacing w:val="-5"/>
        </w:rPr>
        <w:t xml:space="preserve"> </w:t>
      </w:r>
      <w:r w:rsidR="00277913">
        <w:t>załącznikiem</w:t>
      </w:r>
      <w:r w:rsidR="00277913">
        <w:rPr>
          <w:spacing w:val="-3"/>
        </w:rPr>
        <w:t xml:space="preserve"> </w:t>
      </w:r>
      <w:r w:rsidR="00277913">
        <w:t>2</w:t>
      </w:r>
      <w:r w:rsidR="00277913">
        <w:rPr>
          <w:spacing w:val="-5"/>
        </w:rPr>
        <w:t xml:space="preserve"> </w:t>
      </w:r>
      <w:r w:rsidR="00277913">
        <w:t>do</w:t>
      </w:r>
      <w:r w:rsidR="00277913">
        <w:rPr>
          <w:spacing w:val="-1"/>
        </w:rPr>
        <w:t xml:space="preserve"> </w:t>
      </w:r>
      <w:r w:rsidR="00277913">
        <w:t>rozporządzenia</w:t>
      </w:r>
      <w:r w:rsidR="00277913">
        <w:rPr>
          <w:spacing w:val="-5"/>
        </w:rPr>
        <w:t xml:space="preserve"> </w:t>
      </w:r>
      <w:r w:rsidR="00277913">
        <w:t>Ministra</w:t>
      </w:r>
      <w:r w:rsidR="00277913">
        <w:rPr>
          <w:spacing w:val="-4"/>
        </w:rPr>
        <w:t xml:space="preserve"> </w:t>
      </w:r>
      <w:r w:rsidR="00277913">
        <w:t>Infrastruktury</w:t>
      </w:r>
      <w:r w:rsidR="00277913">
        <w:rPr>
          <w:spacing w:val="-4"/>
        </w:rPr>
        <w:t xml:space="preserve"> </w:t>
      </w:r>
      <w:r w:rsidR="00277913">
        <w:t>z</w:t>
      </w:r>
      <w:r w:rsidR="00277913">
        <w:rPr>
          <w:spacing w:val="-2"/>
        </w:rPr>
        <w:t xml:space="preserve"> </w:t>
      </w:r>
      <w:r w:rsidR="00277913">
        <w:t>dnia</w:t>
      </w:r>
      <w:r w:rsidR="00277913">
        <w:rPr>
          <w:spacing w:val="-4"/>
        </w:rPr>
        <w:t xml:space="preserve"> </w:t>
      </w:r>
      <w:r w:rsidR="00277913">
        <w:t>3</w:t>
      </w:r>
      <w:r w:rsidR="00277913">
        <w:rPr>
          <w:spacing w:val="-1"/>
        </w:rPr>
        <w:t xml:space="preserve"> </w:t>
      </w:r>
      <w:r w:rsidR="00277913">
        <w:t>lipca</w:t>
      </w:r>
      <w:r w:rsidR="00277913">
        <w:rPr>
          <w:spacing w:val="-4"/>
        </w:rPr>
        <w:t xml:space="preserve"> </w:t>
      </w:r>
      <w:r w:rsidR="00277913">
        <w:t>2003</w:t>
      </w:r>
      <w:r w:rsidR="00277913">
        <w:rPr>
          <w:spacing w:val="-4"/>
        </w:rPr>
        <w:t xml:space="preserve"> </w:t>
      </w:r>
      <w:r w:rsidR="00277913">
        <w:t>r.</w:t>
      </w:r>
      <w:r w:rsidR="00277913">
        <w:rPr>
          <w:spacing w:val="-2"/>
        </w:rPr>
        <w:t xml:space="preserve"> </w:t>
      </w:r>
      <w:r w:rsidR="00277913">
        <w:t>Szczegółowe</w:t>
      </w:r>
      <w:r w:rsidR="00277913">
        <w:rPr>
          <w:spacing w:val="-3"/>
        </w:rPr>
        <w:t xml:space="preserve"> </w:t>
      </w:r>
      <w:r w:rsidR="00277913">
        <w:t>warunki</w:t>
      </w:r>
      <w:r w:rsidR="00277913">
        <w:rPr>
          <w:spacing w:val="-5"/>
        </w:rPr>
        <w:t xml:space="preserve"> </w:t>
      </w:r>
      <w:r w:rsidR="00277913">
        <w:t>techniczne dla znaków drogowych poziomych i warunki ich umieszczania na drogach (Dz. U. nr 220, poz. 2181 z dnia 23 grudnia 2003r.), powinny odpowiadać następującym</w:t>
      </w:r>
      <w:r w:rsidR="00277913">
        <w:rPr>
          <w:spacing w:val="-4"/>
        </w:rPr>
        <w:t xml:space="preserve"> </w:t>
      </w:r>
      <w:r w:rsidR="00277913">
        <w:t>warunkom:</w:t>
      </w:r>
    </w:p>
    <w:p w:rsidR="00A52CC6" w:rsidRDefault="00277913" w:rsidP="001955B5">
      <w:pPr>
        <w:pStyle w:val="Tekstpodstawowy"/>
      </w:pPr>
      <w:r>
        <w:t>szerokość linii może różnić się od wymaganej o ±</w:t>
      </w:r>
      <w:r>
        <w:rPr>
          <w:spacing w:val="-13"/>
        </w:rPr>
        <w:t xml:space="preserve"> </w:t>
      </w:r>
      <w:r>
        <w:t>5mm,</w:t>
      </w:r>
    </w:p>
    <w:p w:rsidR="00A52CC6" w:rsidRDefault="00277913" w:rsidP="001955B5">
      <w:pPr>
        <w:pStyle w:val="Tekstpodstawowy"/>
      </w:pPr>
      <w:r>
        <w:t>długość</w:t>
      </w:r>
      <w:r>
        <w:rPr>
          <w:spacing w:val="-3"/>
        </w:rPr>
        <w:t xml:space="preserve"> </w:t>
      </w:r>
      <w:r>
        <w:t>linii</w:t>
      </w:r>
      <w:r>
        <w:rPr>
          <w:spacing w:val="-3"/>
        </w:rPr>
        <w:t xml:space="preserve"> </w:t>
      </w:r>
      <w:r>
        <w:t>może</w:t>
      </w:r>
      <w:r>
        <w:rPr>
          <w:spacing w:val="-3"/>
        </w:rPr>
        <w:t xml:space="preserve"> </w:t>
      </w:r>
      <w:r>
        <w:t>być</w:t>
      </w:r>
      <w:r>
        <w:rPr>
          <w:spacing w:val="-2"/>
        </w:rPr>
        <w:t xml:space="preserve"> </w:t>
      </w:r>
      <w:r>
        <w:t>mniejsza od</w:t>
      </w:r>
      <w:r>
        <w:rPr>
          <w:spacing w:val="-2"/>
        </w:rPr>
        <w:t xml:space="preserve"> </w:t>
      </w:r>
      <w:r>
        <w:t>wymaganej</w:t>
      </w:r>
      <w:r>
        <w:rPr>
          <w:spacing w:val="-3"/>
        </w:rPr>
        <w:t xml:space="preserve"> </w:t>
      </w:r>
      <w:r>
        <w:t>co</w:t>
      </w:r>
      <w:r>
        <w:rPr>
          <w:spacing w:val="-2"/>
        </w:rPr>
        <w:t xml:space="preserve"> </w:t>
      </w:r>
      <w:r>
        <w:t>najwyżej</w:t>
      </w:r>
      <w:r>
        <w:rPr>
          <w:spacing w:val="-3"/>
        </w:rPr>
        <w:t xml:space="preserve"> </w:t>
      </w:r>
      <w:r>
        <w:t>o</w:t>
      </w:r>
      <w:r>
        <w:rPr>
          <w:spacing w:val="-6"/>
        </w:rPr>
        <w:t xml:space="preserve"> </w:t>
      </w:r>
      <w:r>
        <w:t>50</w:t>
      </w:r>
      <w:r>
        <w:rPr>
          <w:spacing w:val="-1"/>
        </w:rPr>
        <w:t xml:space="preserve"> </w:t>
      </w:r>
      <w:r>
        <w:t>mm</w:t>
      </w:r>
      <w:r>
        <w:rPr>
          <w:spacing w:val="-2"/>
        </w:rPr>
        <w:t xml:space="preserve"> </w:t>
      </w:r>
      <w:r>
        <w:t>lub</w:t>
      </w:r>
      <w:r>
        <w:rPr>
          <w:spacing w:val="-1"/>
        </w:rPr>
        <w:t xml:space="preserve"> </w:t>
      </w:r>
      <w:r>
        <w:t>większa</w:t>
      </w:r>
      <w:r>
        <w:rPr>
          <w:spacing w:val="-1"/>
        </w:rPr>
        <w:t xml:space="preserve"> </w:t>
      </w:r>
      <w:r>
        <w:t>co</w:t>
      </w:r>
      <w:r>
        <w:rPr>
          <w:spacing w:val="-2"/>
        </w:rPr>
        <w:t xml:space="preserve"> </w:t>
      </w:r>
      <w:r>
        <w:t>najwyżej</w:t>
      </w:r>
      <w:r>
        <w:rPr>
          <w:spacing w:val="-1"/>
        </w:rPr>
        <w:t xml:space="preserve"> </w:t>
      </w:r>
      <w:r>
        <w:t>o</w:t>
      </w:r>
      <w:r>
        <w:rPr>
          <w:spacing w:val="-4"/>
        </w:rPr>
        <w:t xml:space="preserve"> </w:t>
      </w:r>
      <w:r>
        <w:t>150</w:t>
      </w:r>
      <w:r>
        <w:rPr>
          <w:spacing w:val="-2"/>
        </w:rPr>
        <w:t xml:space="preserve"> </w:t>
      </w:r>
      <w:r>
        <w:t>mm,</w:t>
      </w:r>
    </w:p>
    <w:p w:rsidR="00A52CC6" w:rsidRDefault="00277913" w:rsidP="001955B5">
      <w:pPr>
        <w:pStyle w:val="Tekstpodstawowy"/>
      </w:pPr>
      <w:r>
        <w:t xml:space="preserve">dla linii przerywanych, długość cyklu składającego się z linii i przerwy nie może odbiegać od </w:t>
      </w:r>
      <w:r w:rsidR="00643511">
        <w:t>średniej liczonej z</w:t>
      </w:r>
      <w:r>
        <w:t xml:space="preserve"> 10 kolejnych cykli o więcej niż ± 50mm długości</w:t>
      </w:r>
      <w:r>
        <w:rPr>
          <w:spacing w:val="-11"/>
        </w:rPr>
        <w:t xml:space="preserve"> </w:t>
      </w:r>
      <w:r>
        <w:t>wymaganej,</w:t>
      </w:r>
    </w:p>
    <w:p w:rsidR="00A52CC6" w:rsidRDefault="00277913" w:rsidP="001955B5">
      <w:pPr>
        <w:pStyle w:val="Tekstpodstawowy"/>
      </w:pPr>
      <w:r>
        <w:t>dla strzałek, liter i cyfr rozstaw punktów narożnikowych nie może mieć większej odchyłki od wymaganego wzoru niż ± 50mm dla wymiaru długości i ± 20mm dla wymiaru</w:t>
      </w:r>
      <w:r>
        <w:rPr>
          <w:spacing w:val="-7"/>
        </w:rPr>
        <w:t xml:space="preserve"> </w:t>
      </w:r>
      <w:r>
        <w:t>szerokości.</w:t>
      </w:r>
    </w:p>
    <w:p w:rsidR="00A52CC6" w:rsidRDefault="00277913" w:rsidP="001955B5">
      <w:pPr>
        <w:pStyle w:val="Tekstpodstawowy"/>
      </w:pPr>
      <w:r>
        <w:t>Przy wykonywaniu nowego oznakowania poziomego, spowodowanego zmianami organizacji ruchu, należy dokładnie usunąć zbędne stare oznakowanie.</w:t>
      </w:r>
    </w:p>
    <w:p w:rsidR="00A52CC6" w:rsidRPr="00B20401" w:rsidRDefault="00277913" w:rsidP="00EA0247">
      <w:pPr>
        <w:pStyle w:val="Nagwek1"/>
        <w:numPr>
          <w:ilvl w:val="2"/>
          <w:numId w:val="24"/>
        </w:numPr>
        <w:spacing w:before="120" w:after="120"/>
        <w:ind w:left="0" w:firstLine="0"/>
        <w:rPr>
          <w:sz w:val="20"/>
        </w:rPr>
      </w:pPr>
      <w:r w:rsidRPr="00B20401">
        <w:rPr>
          <w:sz w:val="20"/>
        </w:rPr>
        <w:t>Tolerancje przy odnawianiu istniejącego oznakowania</w:t>
      </w:r>
    </w:p>
    <w:p w:rsidR="005F02F7" w:rsidRDefault="00277913" w:rsidP="001955B5">
      <w:pPr>
        <w:pStyle w:val="Tekstpodstawowy"/>
      </w:pPr>
      <w:r>
        <w:t>Przy odnawianiu istniejącego oznakowania należy dążyć do pokrycia pełnej powierzchni istniejących znaków, przy zachowaniu dopuszczalnych tole</w:t>
      </w:r>
      <w:r w:rsidR="005F02F7">
        <w:t>rancji podanych w punkcie 6.4.1</w:t>
      </w:r>
    </w:p>
    <w:p w:rsidR="00A52CC6" w:rsidRPr="00B20401" w:rsidRDefault="00277913" w:rsidP="00EA0247">
      <w:pPr>
        <w:pStyle w:val="Nagwek1"/>
        <w:numPr>
          <w:ilvl w:val="0"/>
          <w:numId w:val="24"/>
        </w:numPr>
        <w:spacing w:before="120" w:after="120"/>
        <w:ind w:left="0" w:firstLine="0"/>
        <w:rPr>
          <w:sz w:val="20"/>
        </w:rPr>
      </w:pPr>
      <w:r w:rsidRPr="00B20401">
        <w:rPr>
          <w:sz w:val="20"/>
        </w:rPr>
        <w:t>OBMIAR ROBÓT</w:t>
      </w:r>
    </w:p>
    <w:p w:rsidR="00A52CC6" w:rsidRPr="00B20401" w:rsidRDefault="00277913" w:rsidP="00EA0247">
      <w:pPr>
        <w:pStyle w:val="Nagwek1"/>
        <w:numPr>
          <w:ilvl w:val="1"/>
          <w:numId w:val="24"/>
        </w:numPr>
        <w:spacing w:before="120" w:after="120"/>
        <w:ind w:left="0" w:firstLine="0"/>
        <w:rPr>
          <w:sz w:val="20"/>
        </w:rPr>
      </w:pPr>
      <w:r w:rsidRPr="00B20401">
        <w:rPr>
          <w:sz w:val="20"/>
        </w:rPr>
        <w:t>Ogólne zasady obmiaru robót</w:t>
      </w:r>
    </w:p>
    <w:p w:rsidR="0087570B" w:rsidRDefault="00A12F2B" w:rsidP="001955B5">
      <w:pPr>
        <w:pStyle w:val="Tekstpodstawowy"/>
      </w:pPr>
      <w:r>
        <w:t>Ogólne zasady obmiaru robót podano w STWiORB D-M-00.00.00 "Wymagania ogólne.</w:t>
      </w:r>
    </w:p>
    <w:p w:rsidR="00A12F2B" w:rsidRDefault="00A12F2B" w:rsidP="00EA0247">
      <w:pPr>
        <w:pStyle w:val="Nagwek1"/>
        <w:numPr>
          <w:ilvl w:val="1"/>
          <w:numId w:val="24"/>
        </w:numPr>
        <w:spacing w:before="120" w:after="120"/>
        <w:ind w:left="0" w:firstLine="0"/>
        <w:rPr>
          <w:sz w:val="20"/>
        </w:rPr>
      </w:pPr>
      <w:r>
        <w:rPr>
          <w:sz w:val="20"/>
        </w:rPr>
        <w:t>Jednostka obmiarowa</w:t>
      </w:r>
    </w:p>
    <w:p w:rsidR="00A12F2B" w:rsidRPr="00A12F2B" w:rsidRDefault="00A12F2B" w:rsidP="00EA0247">
      <w:pPr>
        <w:pStyle w:val="Nagwek1"/>
        <w:spacing w:before="120" w:after="120"/>
        <w:ind w:left="0" w:firstLine="0"/>
        <w:rPr>
          <w:b w:val="0"/>
          <w:sz w:val="20"/>
        </w:rPr>
      </w:pPr>
      <w:r>
        <w:rPr>
          <w:b w:val="0"/>
          <w:sz w:val="20"/>
        </w:rPr>
        <w:t>Jednostką obmiarową wykonania oznakowania poziomego jest metr kwadratowy (m</w:t>
      </w:r>
      <w:r>
        <w:rPr>
          <w:b w:val="0"/>
          <w:sz w:val="20"/>
          <w:vertAlign w:val="superscript"/>
        </w:rPr>
        <w:t>2</w:t>
      </w:r>
      <w:r>
        <w:rPr>
          <w:b w:val="0"/>
          <w:sz w:val="20"/>
        </w:rPr>
        <w:t>) powierzchni naniesionych znaków i powierzchni usuniętego oznakowania.</w:t>
      </w:r>
    </w:p>
    <w:p w:rsidR="00A52CC6" w:rsidRPr="00B20401" w:rsidRDefault="00277913" w:rsidP="00EA0247">
      <w:pPr>
        <w:pStyle w:val="Nagwek1"/>
        <w:numPr>
          <w:ilvl w:val="0"/>
          <w:numId w:val="24"/>
        </w:numPr>
        <w:spacing w:before="120" w:after="120"/>
        <w:ind w:left="0" w:firstLine="0"/>
        <w:rPr>
          <w:sz w:val="20"/>
        </w:rPr>
      </w:pPr>
      <w:r w:rsidRPr="00B20401">
        <w:rPr>
          <w:sz w:val="20"/>
        </w:rPr>
        <w:t>ODBIÓR ROBÓT</w:t>
      </w:r>
    </w:p>
    <w:p w:rsidR="00A52CC6" w:rsidRPr="00B20401" w:rsidRDefault="00277913" w:rsidP="00EA0247">
      <w:pPr>
        <w:pStyle w:val="Nagwek1"/>
        <w:numPr>
          <w:ilvl w:val="1"/>
          <w:numId w:val="24"/>
        </w:numPr>
        <w:spacing w:before="120" w:after="120"/>
        <w:ind w:left="0" w:firstLine="0"/>
        <w:rPr>
          <w:sz w:val="20"/>
        </w:rPr>
      </w:pPr>
      <w:r w:rsidRPr="00B20401">
        <w:rPr>
          <w:sz w:val="20"/>
        </w:rPr>
        <w:t>Ogólne zasady odbioru Robót</w:t>
      </w:r>
    </w:p>
    <w:p w:rsidR="00A52CC6" w:rsidRDefault="00277913" w:rsidP="001955B5">
      <w:pPr>
        <w:pStyle w:val="Tekstpodstawowy"/>
      </w:pPr>
      <w:r>
        <w:t>Ogólne zasady odbioru Robót podano w ST DM.00.00.00 „Wymagania ogólne” p.8.</w:t>
      </w:r>
    </w:p>
    <w:p w:rsidR="00A52CC6" w:rsidRPr="00B20401" w:rsidRDefault="00277913" w:rsidP="00EA0247">
      <w:pPr>
        <w:pStyle w:val="Nagwek1"/>
        <w:numPr>
          <w:ilvl w:val="1"/>
          <w:numId w:val="24"/>
        </w:numPr>
        <w:spacing w:before="120" w:after="120"/>
        <w:ind w:left="0" w:firstLine="0"/>
        <w:rPr>
          <w:sz w:val="20"/>
        </w:rPr>
      </w:pPr>
      <w:r w:rsidRPr="00B20401">
        <w:rPr>
          <w:sz w:val="20"/>
        </w:rPr>
        <w:t>Odbiór Robót zanikających i ulegających zakryciu</w:t>
      </w:r>
    </w:p>
    <w:p w:rsidR="00A52CC6" w:rsidRDefault="00277913" w:rsidP="001955B5">
      <w:pPr>
        <w:pStyle w:val="Tekstpodstawowy"/>
      </w:pPr>
      <w:r>
        <w:t>Odbiór Robót zanikających i ulegających zakryciu, w zależności od przyjętego sposobu wykonania robót, może być dokonany po:</w:t>
      </w:r>
    </w:p>
    <w:p w:rsidR="00A52CC6" w:rsidRDefault="00277913" w:rsidP="001955B5">
      <w:pPr>
        <w:pStyle w:val="Tekstpodstawowy"/>
      </w:pPr>
      <w:r>
        <w:t>oczyszczeniu powierzchni</w:t>
      </w:r>
      <w:r>
        <w:rPr>
          <w:spacing w:val="-1"/>
        </w:rPr>
        <w:t xml:space="preserve"> </w:t>
      </w:r>
      <w:r>
        <w:t>nawierzchni,</w:t>
      </w:r>
    </w:p>
    <w:p w:rsidR="00A52CC6" w:rsidRDefault="00277913" w:rsidP="001955B5">
      <w:pPr>
        <w:pStyle w:val="Tekstpodstawowy"/>
      </w:pPr>
      <w:r>
        <w:t>przedznakowaniu,</w:t>
      </w:r>
    </w:p>
    <w:p w:rsidR="00A52CC6" w:rsidRDefault="00277913" w:rsidP="001955B5">
      <w:pPr>
        <w:pStyle w:val="Tekstpodstawowy"/>
      </w:pPr>
      <w:r>
        <w:t>frezowaniu nawierzchni przed wykonaniem znakowania materiałem</w:t>
      </w:r>
      <w:r>
        <w:rPr>
          <w:spacing w:val="-13"/>
        </w:rPr>
        <w:t xml:space="preserve"> </w:t>
      </w:r>
      <w:r>
        <w:t>grubowarstwowym,</w:t>
      </w:r>
    </w:p>
    <w:p w:rsidR="00A52CC6" w:rsidRDefault="00277913" w:rsidP="001955B5">
      <w:pPr>
        <w:pStyle w:val="Tekstpodstawowy"/>
      </w:pPr>
      <w:r>
        <w:t>usunięciu istniejącego oznakowania</w:t>
      </w:r>
      <w:r>
        <w:rPr>
          <w:spacing w:val="-2"/>
        </w:rPr>
        <w:t xml:space="preserve"> </w:t>
      </w:r>
      <w:r>
        <w:t>poziomego.</w:t>
      </w:r>
    </w:p>
    <w:p w:rsidR="00A52CC6" w:rsidRPr="00B20401" w:rsidRDefault="00277913" w:rsidP="00EA0247">
      <w:pPr>
        <w:pStyle w:val="Nagwek1"/>
        <w:numPr>
          <w:ilvl w:val="1"/>
          <w:numId w:val="24"/>
        </w:numPr>
        <w:spacing w:before="120" w:after="120"/>
        <w:ind w:left="0" w:firstLine="0"/>
        <w:rPr>
          <w:sz w:val="20"/>
        </w:rPr>
      </w:pPr>
      <w:r w:rsidRPr="00B20401">
        <w:rPr>
          <w:sz w:val="20"/>
        </w:rPr>
        <w:t>Odbiór ostateczny</w:t>
      </w:r>
    </w:p>
    <w:p w:rsidR="00A52CC6" w:rsidRDefault="00277913" w:rsidP="001955B5">
      <w:pPr>
        <w:pStyle w:val="Tekstpodstawowy"/>
      </w:pPr>
      <w:r>
        <w:t>Odbioru ostatecznego należy dokonać po całkowitym zakończeniu Robót, na podstawie wyników pomiarów i badań jakościowych określonych w punktach od 2 do 6.</w:t>
      </w:r>
    </w:p>
    <w:p w:rsidR="00A52CC6" w:rsidRDefault="00277913" w:rsidP="001955B5">
      <w:pPr>
        <w:pStyle w:val="Tekstpodstawowy"/>
      </w:pPr>
      <w:r>
        <w:t xml:space="preserve">Roboty wykonane niezgodnie z PFU </w:t>
      </w:r>
      <w:r w:rsidR="00643511">
        <w:t>i Dokumentami</w:t>
      </w:r>
      <w:r>
        <w:t xml:space="preserve"> Wykonawcy oraz poleceniami Inwestora podlegają </w:t>
      </w:r>
      <w:r w:rsidR="00643511">
        <w:t>usunięciu i</w:t>
      </w:r>
      <w:r>
        <w:t xml:space="preserve"> ponownemu wykonaniu na koszt i staraniem</w:t>
      </w:r>
      <w:r>
        <w:rPr>
          <w:spacing w:val="-8"/>
        </w:rPr>
        <w:t xml:space="preserve"> </w:t>
      </w:r>
      <w:r>
        <w:t>Wykonawcy.</w:t>
      </w:r>
    </w:p>
    <w:p w:rsidR="00A52CC6" w:rsidRPr="00B20401" w:rsidRDefault="00277913" w:rsidP="00EA0247">
      <w:pPr>
        <w:pStyle w:val="Nagwek1"/>
        <w:numPr>
          <w:ilvl w:val="1"/>
          <w:numId w:val="24"/>
        </w:numPr>
        <w:spacing w:before="120" w:after="120"/>
        <w:ind w:left="0" w:firstLine="0"/>
        <w:rPr>
          <w:sz w:val="20"/>
        </w:rPr>
      </w:pPr>
      <w:r w:rsidRPr="00B20401">
        <w:rPr>
          <w:sz w:val="20"/>
        </w:rPr>
        <w:t>Odbiór pogwarancyjny</w:t>
      </w:r>
    </w:p>
    <w:p w:rsidR="00A52CC6" w:rsidRDefault="00277913" w:rsidP="001955B5">
      <w:pPr>
        <w:pStyle w:val="Tekstpodstawowy"/>
      </w:pPr>
      <w:r>
        <w:t>Odbioru pogwarancyjnego należy dokonać po upływie okresu gwarancyjnego.</w:t>
      </w:r>
    </w:p>
    <w:p w:rsidR="00A52CC6" w:rsidRPr="00B20401" w:rsidRDefault="00277913" w:rsidP="00EA0247">
      <w:pPr>
        <w:pStyle w:val="Nagwek1"/>
        <w:numPr>
          <w:ilvl w:val="0"/>
          <w:numId w:val="24"/>
        </w:numPr>
        <w:spacing w:before="120" w:after="120"/>
        <w:ind w:left="0" w:firstLine="0"/>
        <w:rPr>
          <w:sz w:val="20"/>
        </w:rPr>
      </w:pPr>
      <w:r w:rsidRPr="00B20401">
        <w:rPr>
          <w:sz w:val="20"/>
        </w:rPr>
        <w:t>PODSTAWA PŁATNOŚCI</w:t>
      </w:r>
    </w:p>
    <w:p w:rsidR="00A52CC6" w:rsidRPr="00B20401" w:rsidRDefault="00277913" w:rsidP="00EA0247">
      <w:pPr>
        <w:pStyle w:val="Nagwek1"/>
        <w:numPr>
          <w:ilvl w:val="1"/>
          <w:numId w:val="24"/>
        </w:numPr>
        <w:spacing w:before="120" w:after="120"/>
        <w:ind w:left="0" w:firstLine="0"/>
        <w:rPr>
          <w:sz w:val="20"/>
        </w:rPr>
      </w:pPr>
      <w:r w:rsidRPr="00B20401">
        <w:rPr>
          <w:sz w:val="20"/>
        </w:rPr>
        <w:t>Ogólne ustalenia dotyczące podstawy płatności</w:t>
      </w:r>
    </w:p>
    <w:p w:rsidR="00A52CC6" w:rsidRDefault="00277913" w:rsidP="001955B5">
      <w:pPr>
        <w:pStyle w:val="Tekstpodstawowy"/>
      </w:pPr>
      <w:r>
        <w:t>Ogólne ustalenia dotyczące podstawy płatności podano w ST</w:t>
      </w:r>
      <w:r w:rsidR="00CA5F38">
        <w:t xml:space="preserve"> DM.00.00.00 „Wymagania ogólne”</w:t>
      </w:r>
    </w:p>
    <w:p w:rsidR="00CA5F38" w:rsidRDefault="00CA5F38" w:rsidP="001955B5">
      <w:pPr>
        <w:pStyle w:val="Tekstpodstawowy"/>
      </w:pPr>
      <w:r>
        <w:t>Wynagrodzenie: zasady płatności podano w Umowie pomiędzy Zamawiającym i Wykonawcą. Podstawą płatności jest cena jednostkowa skalkulowana przez Wykonawcę za jednostkę obmiarową ustaloną dla danej pozycji Zasadniczego Przedmiaru Robót Stałych (ZPRS),</w:t>
      </w:r>
      <w:bookmarkStart w:id="0" w:name="_GoBack"/>
      <w:bookmarkEnd w:id="0"/>
    </w:p>
    <w:p w:rsidR="00A52CC6" w:rsidRPr="00B20401" w:rsidRDefault="00277913" w:rsidP="00EA0247">
      <w:pPr>
        <w:pStyle w:val="Nagwek1"/>
        <w:numPr>
          <w:ilvl w:val="0"/>
          <w:numId w:val="24"/>
        </w:numPr>
        <w:spacing w:before="120" w:after="120"/>
        <w:ind w:left="0" w:firstLine="0"/>
        <w:rPr>
          <w:sz w:val="20"/>
        </w:rPr>
      </w:pPr>
      <w:r w:rsidRPr="00B20401">
        <w:rPr>
          <w:sz w:val="20"/>
        </w:rPr>
        <w:t>PRZEPISY ZWIĄZANE</w:t>
      </w:r>
    </w:p>
    <w:p w:rsidR="00A52CC6" w:rsidRPr="00B20401" w:rsidRDefault="00277913" w:rsidP="00EA0247">
      <w:pPr>
        <w:pStyle w:val="Nagwek1"/>
        <w:numPr>
          <w:ilvl w:val="1"/>
          <w:numId w:val="24"/>
        </w:numPr>
        <w:spacing w:before="120" w:after="120"/>
        <w:ind w:left="0" w:firstLine="0"/>
        <w:rPr>
          <w:sz w:val="20"/>
        </w:rPr>
      </w:pPr>
      <w:r w:rsidRPr="00B20401">
        <w:rPr>
          <w:sz w:val="20"/>
        </w:rPr>
        <w:lastRenderedPageBreak/>
        <w:t>Normy</w:t>
      </w:r>
    </w:p>
    <w:p w:rsidR="00A52CC6" w:rsidRDefault="00277913" w:rsidP="001955B5">
      <w:pPr>
        <w:pStyle w:val="Tekstpodstawowy"/>
        <w:numPr>
          <w:ilvl w:val="0"/>
          <w:numId w:val="22"/>
        </w:numPr>
      </w:pPr>
      <w:r>
        <w:t>PN-C-81400:1989</w:t>
      </w:r>
      <w:r w:rsidR="00C11DD7">
        <w:tab/>
      </w:r>
      <w:r>
        <w:tab/>
        <w:t>Wyroby lakierowe. Pakowanie, przechowywanie i</w:t>
      </w:r>
      <w:r w:rsidRPr="00C11DD7">
        <w:t xml:space="preserve"> </w:t>
      </w:r>
      <w:r>
        <w:t>transport.</w:t>
      </w:r>
    </w:p>
    <w:p w:rsidR="00A52CC6" w:rsidRDefault="00277913" w:rsidP="001955B5">
      <w:pPr>
        <w:pStyle w:val="Tekstpodstawowy"/>
        <w:numPr>
          <w:ilvl w:val="0"/>
          <w:numId w:val="22"/>
        </w:numPr>
      </w:pPr>
      <w:r>
        <w:t>PN-EN</w:t>
      </w:r>
      <w:r w:rsidRPr="00C11DD7">
        <w:t xml:space="preserve"> </w:t>
      </w:r>
      <w:r>
        <w:t>ISO</w:t>
      </w:r>
      <w:r w:rsidRPr="00C11DD7">
        <w:t xml:space="preserve"> </w:t>
      </w:r>
      <w:r>
        <w:t>780:2016-03</w:t>
      </w:r>
      <w:r>
        <w:tab/>
        <w:t>Opakowania - Opakowania transportowe - Symbole graficzne stosowane</w:t>
      </w:r>
      <w:r w:rsidRPr="00C11DD7">
        <w:t xml:space="preserve"> </w:t>
      </w:r>
      <w:r>
        <w:t>na</w:t>
      </w:r>
    </w:p>
    <w:p w:rsidR="00A52CC6" w:rsidRDefault="00277913" w:rsidP="001955B5">
      <w:pPr>
        <w:pStyle w:val="Tekstpodstawowy"/>
        <w:numPr>
          <w:ilvl w:val="4"/>
          <w:numId w:val="22"/>
        </w:numPr>
      </w:pPr>
      <w:r>
        <w:t>opakowaniach, przy ich przemieszczaniu i magazynowaniu</w:t>
      </w:r>
    </w:p>
    <w:p w:rsidR="00A52CC6" w:rsidRDefault="00277913" w:rsidP="001955B5">
      <w:pPr>
        <w:pStyle w:val="Tekstpodstawowy"/>
        <w:numPr>
          <w:ilvl w:val="0"/>
          <w:numId w:val="22"/>
        </w:numPr>
      </w:pPr>
      <w:r>
        <w:t>PN-EN</w:t>
      </w:r>
      <w:r w:rsidRPr="00C11DD7">
        <w:t xml:space="preserve"> </w:t>
      </w:r>
      <w:r>
        <w:t>1423:2000</w:t>
      </w:r>
      <w:r>
        <w:tab/>
      </w:r>
      <w:r w:rsidR="00C11DD7">
        <w:tab/>
      </w:r>
      <w:r>
        <w:t>Materiały</w:t>
      </w:r>
      <w:r w:rsidRPr="00C11DD7">
        <w:t xml:space="preserve"> </w:t>
      </w:r>
      <w:r>
        <w:t>do</w:t>
      </w:r>
      <w:r w:rsidRPr="00C11DD7">
        <w:t xml:space="preserve"> </w:t>
      </w:r>
      <w:r>
        <w:t>poziomego</w:t>
      </w:r>
      <w:r w:rsidRPr="00C11DD7">
        <w:t xml:space="preserve"> </w:t>
      </w:r>
      <w:r>
        <w:t>oznakowania</w:t>
      </w:r>
      <w:r w:rsidRPr="00C11DD7">
        <w:t xml:space="preserve"> </w:t>
      </w:r>
      <w:r>
        <w:t>dróg</w:t>
      </w:r>
      <w:r w:rsidRPr="00C11DD7">
        <w:t xml:space="preserve"> </w:t>
      </w:r>
      <w:r>
        <w:t>Materiały</w:t>
      </w:r>
      <w:r w:rsidRPr="00C11DD7">
        <w:t xml:space="preserve"> </w:t>
      </w:r>
      <w:r>
        <w:t>do</w:t>
      </w:r>
      <w:r w:rsidRPr="00C11DD7">
        <w:t xml:space="preserve"> </w:t>
      </w:r>
      <w:r>
        <w:t>posypywania.</w:t>
      </w:r>
      <w:r w:rsidRPr="00C11DD7">
        <w:t xml:space="preserve"> </w:t>
      </w:r>
      <w:r>
        <w:t>Kulki</w:t>
      </w:r>
    </w:p>
    <w:p w:rsidR="00A52CC6" w:rsidRDefault="00277913" w:rsidP="001955B5">
      <w:pPr>
        <w:pStyle w:val="Tekstpodstawowy"/>
        <w:numPr>
          <w:ilvl w:val="4"/>
          <w:numId w:val="22"/>
        </w:numPr>
      </w:pPr>
      <w:r>
        <w:t>szklane, kruszywo przeciwpoślizgowe i ich mieszaniny.</w:t>
      </w:r>
    </w:p>
    <w:p w:rsidR="00A52CC6" w:rsidRDefault="00277913" w:rsidP="001955B5">
      <w:pPr>
        <w:pStyle w:val="Tekstpodstawowy"/>
        <w:numPr>
          <w:ilvl w:val="0"/>
          <w:numId w:val="22"/>
        </w:numPr>
      </w:pPr>
      <w:r>
        <w:t>PN-EN</w:t>
      </w:r>
      <w:r w:rsidRPr="00C11DD7">
        <w:t xml:space="preserve"> </w:t>
      </w:r>
      <w:r>
        <w:t>1423:2000/A1:2005</w:t>
      </w:r>
      <w:r>
        <w:tab/>
        <w:t>Materiały</w:t>
      </w:r>
      <w:r w:rsidRPr="00C11DD7">
        <w:t xml:space="preserve"> </w:t>
      </w:r>
      <w:r>
        <w:t>do</w:t>
      </w:r>
      <w:r w:rsidRPr="00C11DD7">
        <w:t xml:space="preserve"> </w:t>
      </w:r>
      <w:r>
        <w:t>poziomego</w:t>
      </w:r>
      <w:r w:rsidRPr="00C11DD7">
        <w:t xml:space="preserve"> </w:t>
      </w:r>
      <w:r>
        <w:t>oznakowania</w:t>
      </w:r>
      <w:r w:rsidRPr="00C11DD7">
        <w:t xml:space="preserve"> </w:t>
      </w:r>
      <w:r>
        <w:t>dróg</w:t>
      </w:r>
      <w:r w:rsidRPr="00C11DD7">
        <w:t xml:space="preserve"> </w:t>
      </w:r>
      <w:r>
        <w:t>Materiały</w:t>
      </w:r>
      <w:r w:rsidRPr="00C11DD7">
        <w:t xml:space="preserve"> </w:t>
      </w:r>
      <w:r>
        <w:t>do</w:t>
      </w:r>
      <w:r w:rsidRPr="00C11DD7">
        <w:t xml:space="preserve"> </w:t>
      </w:r>
      <w:r>
        <w:t>posypywania.</w:t>
      </w:r>
      <w:r w:rsidRPr="00C11DD7">
        <w:t xml:space="preserve"> </w:t>
      </w:r>
      <w:r>
        <w:t>Kulki</w:t>
      </w:r>
    </w:p>
    <w:p w:rsidR="00A52CC6" w:rsidRDefault="00277913" w:rsidP="001955B5">
      <w:pPr>
        <w:pStyle w:val="Tekstpodstawowy"/>
        <w:numPr>
          <w:ilvl w:val="4"/>
          <w:numId w:val="22"/>
        </w:numPr>
      </w:pPr>
      <w:r>
        <w:t>szklane, kruszywo przeciwpoślizgowe i ich mieszaniny (Zmiana A1:2005).</w:t>
      </w:r>
    </w:p>
    <w:p w:rsidR="00A52CC6" w:rsidRDefault="00277913" w:rsidP="001955B5">
      <w:pPr>
        <w:pStyle w:val="Tekstpodstawowy"/>
        <w:numPr>
          <w:ilvl w:val="0"/>
          <w:numId w:val="22"/>
        </w:numPr>
      </w:pPr>
      <w:r>
        <w:t>PN-EN</w:t>
      </w:r>
      <w:r w:rsidRPr="00C11DD7">
        <w:t xml:space="preserve"> </w:t>
      </w:r>
      <w:r>
        <w:t>1436+A1:2008</w:t>
      </w:r>
      <w:r>
        <w:tab/>
      </w:r>
      <w:r w:rsidR="00C11DD7">
        <w:tab/>
      </w:r>
      <w:r>
        <w:t>Materiały do poziomego oznakowania dróg. Wymagania</w:t>
      </w:r>
      <w:r w:rsidRPr="00C11DD7">
        <w:t xml:space="preserve"> </w:t>
      </w:r>
      <w:r>
        <w:t>dotyczące</w:t>
      </w:r>
    </w:p>
    <w:p w:rsidR="00A52CC6" w:rsidRDefault="00277913" w:rsidP="001955B5">
      <w:pPr>
        <w:pStyle w:val="Tekstpodstawowy"/>
        <w:numPr>
          <w:ilvl w:val="4"/>
          <w:numId w:val="22"/>
        </w:numPr>
      </w:pPr>
      <w:r>
        <w:t>poziomych oznakowań dróg.</w:t>
      </w:r>
    </w:p>
    <w:p w:rsidR="00A52CC6" w:rsidRDefault="00277913" w:rsidP="001955B5">
      <w:pPr>
        <w:pStyle w:val="Tekstpodstawowy"/>
        <w:numPr>
          <w:ilvl w:val="0"/>
          <w:numId w:val="22"/>
        </w:numPr>
      </w:pPr>
      <w:r>
        <w:t>PN-EN</w:t>
      </w:r>
      <w:r w:rsidRPr="00C11DD7">
        <w:t xml:space="preserve"> </w:t>
      </w:r>
      <w:r>
        <w:t>1463-1:2009</w:t>
      </w:r>
      <w:r>
        <w:tab/>
      </w:r>
      <w:r w:rsidR="00C11DD7">
        <w:tab/>
      </w:r>
      <w:r>
        <w:t>Materiały do poziomego oznakowania dróg.</w:t>
      </w:r>
      <w:r w:rsidRPr="00C11DD7">
        <w:t xml:space="preserve"> </w:t>
      </w:r>
      <w:r>
        <w:t>Punktowe elementy odblaskowe</w:t>
      </w:r>
    </w:p>
    <w:p w:rsidR="00A52CC6" w:rsidRDefault="00277913" w:rsidP="001955B5">
      <w:pPr>
        <w:pStyle w:val="Tekstpodstawowy"/>
        <w:numPr>
          <w:ilvl w:val="4"/>
          <w:numId w:val="22"/>
        </w:numPr>
      </w:pPr>
      <w:r>
        <w:t>Część 1: Wymagania dotyczące charakterystyki nowego elementu.</w:t>
      </w:r>
    </w:p>
    <w:p w:rsidR="00A52CC6" w:rsidRDefault="00277913" w:rsidP="001955B5">
      <w:pPr>
        <w:pStyle w:val="Tekstpodstawowy"/>
        <w:numPr>
          <w:ilvl w:val="0"/>
          <w:numId w:val="22"/>
        </w:numPr>
      </w:pPr>
      <w:r>
        <w:t>PN-EN</w:t>
      </w:r>
      <w:r w:rsidRPr="00C11DD7">
        <w:t xml:space="preserve"> </w:t>
      </w:r>
      <w:r>
        <w:t>1463-2:2003</w:t>
      </w:r>
      <w:r>
        <w:tab/>
      </w:r>
      <w:r w:rsidR="00C11DD7">
        <w:tab/>
      </w:r>
      <w:r>
        <w:t>Materiały do poziomego oznakowania dróg.</w:t>
      </w:r>
      <w:r w:rsidRPr="00C11DD7">
        <w:t xml:space="preserve"> </w:t>
      </w:r>
      <w:r>
        <w:t>Punktowe elementy odblaskowe</w:t>
      </w:r>
    </w:p>
    <w:p w:rsidR="00A52CC6" w:rsidRDefault="00277913" w:rsidP="001955B5">
      <w:pPr>
        <w:pStyle w:val="Tekstpodstawowy"/>
        <w:numPr>
          <w:ilvl w:val="4"/>
          <w:numId w:val="22"/>
        </w:numPr>
      </w:pPr>
      <w:r>
        <w:t>Część 2: Badania terenowe.</w:t>
      </w:r>
    </w:p>
    <w:p w:rsidR="00A52CC6" w:rsidRDefault="00277913" w:rsidP="001955B5">
      <w:pPr>
        <w:pStyle w:val="Tekstpodstawowy"/>
        <w:numPr>
          <w:ilvl w:val="0"/>
          <w:numId w:val="22"/>
        </w:numPr>
      </w:pPr>
      <w:r>
        <w:t>PN-EN</w:t>
      </w:r>
      <w:r>
        <w:rPr>
          <w:spacing w:val="-6"/>
        </w:rPr>
        <w:t xml:space="preserve"> </w:t>
      </w:r>
      <w:r>
        <w:t>1871:2003</w:t>
      </w:r>
      <w:r>
        <w:tab/>
      </w:r>
      <w:r w:rsidR="00C11DD7">
        <w:tab/>
      </w:r>
      <w:r>
        <w:t>Materiały do poziomego oznakowania dróg. Właściwości</w:t>
      </w:r>
      <w:r>
        <w:rPr>
          <w:spacing w:val="-11"/>
        </w:rPr>
        <w:t xml:space="preserve"> </w:t>
      </w:r>
      <w:r>
        <w:t>fizyczne.</w:t>
      </w:r>
    </w:p>
    <w:p w:rsidR="00A52CC6" w:rsidRPr="00B20401" w:rsidRDefault="00277913" w:rsidP="00EA0247">
      <w:pPr>
        <w:pStyle w:val="Nagwek1"/>
        <w:numPr>
          <w:ilvl w:val="1"/>
          <w:numId w:val="24"/>
        </w:numPr>
        <w:spacing w:before="120" w:after="120"/>
        <w:ind w:left="0" w:firstLine="0"/>
        <w:rPr>
          <w:sz w:val="20"/>
        </w:rPr>
      </w:pPr>
      <w:r w:rsidRPr="00B20401">
        <w:rPr>
          <w:sz w:val="20"/>
        </w:rPr>
        <w:t>Przepisy związane i inne dokumenty</w:t>
      </w:r>
    </w:p>
    <w:p w:rsidR="00C11DD7" w:rsidRDefault="00277913" w:rsidP="001955B5">
      <w:pPr>
        <w:pStyle w:val="Tekstpodstawowy"/>
        <w:numPr>
          <w:ilvl w:val="0"/>
          <w:numId w:val="22"/>
        </w:numPr>
      </w:pPr>
      <w:r>
        <w:t>Załącznik 2 do rozporządzenia Ministra Infrastruktury z dnia 3 lipca 2003 r. Szczegółowe warunki techniczne dla znaków drogowych poziomych i warunki ich umieszczania na drogach (Dz. U. nr 220, poz. 2181 z dnia 23 grudnia 2003r.)</w:t>
      </w:r>
    </w:p>
    <w:p w:rsidR="00C11DD7" w:rsidRDefault="00277913" w:rsidP="001955B5">
      <w:pPr>
        <w:pStyle w:val="Tekstpodstawowy"/>
        <w:numPr>
          <w:ilvl w:val="0"/>
          <w:numId w:val="22"/>
        </w:numPr>
      </w:pPr>
      <w:r>
        <w:t>Rozporządzenie Ministra Infrastruktury z dnia 11 sierpnia 2004 r. w sprawie sposobów deklarowania zgodności wyrobów budowlanych oraz sposobu znakowania ich znakiem budowlanym (Dz. U. nr 198, poz.</w:t>
      </w:r>
      <w:r w:rsidRPr="00C11DD7">
        <w:rPr>
          <w:spacing w:val="-34"/>
        </w:rPr>
        <w:t xml:space="preserve"> </w:t>
      </w:r>
      <w:r>
        <w:t>2041)</w:t>
      </w:r>
    </w:p>
    <w:p w:rsidR="00C11DD7" w:rsidRDefault="00277913" w:rsidP="001955B5">
      <w:pPr>
        <w:pStyle w:val="Tekstpodstawowy"/>
        <w:numPr>
          <w:ilvl w:val="0"/>
          <w:numId w:val="22"/>
        </w:numPr>
      </w:pPr>
      <w:r>
        <w:t>Prawo przewozowe (Dz. U. nr 53 z 1984 r., poz. 272 z późniejszymi</w:t>
      </w:r>
      <w:r w:rsidRPr="00C11DD7">
        <w:rPr>
          <w:spacing w:val="-21"/>
        </w:rPr>
        <w:t xml:space="preserve"> </w:t>
      </w:r>
      <w:r>
        <w:t>zmianami)</w:t>
      </w:r>
    </w:p>
    <w:p w:rsidR="00C11DD7" w:rsidRDefault="00277913" w:rsidP="001955B5">
      <w:pPr>
        <w:pStyle w:val="Tekstpodstawowy"/>
        <w:numPr>
          <w:ilvl w:val="0"/>
          <w:numId w:val="22"/>
        </w:numPr>
      </w:pPr>
      <w:r w:rsidRPr="005F02F7">
        <w:t>Rozporządzenie Ministra Infrastruktury z dnia 11 sierpnia 2004 r. w sprawie systemów oceny zgodności, wymagań jakie powinny spełniać notyfikowane jednostki uczestniczące w ocenie zgodności oraz sposobu oznaczania wyrobów budowlanych oznakowaniem CE (Dz. U. nr 195, poz.</w:t>
      </w:r>
      <w:r w:rsidRPr="00C11DD7">
        <w:rPr>
          <w:spacing w:val="-12"/>
        </w:rPr>
        <w:t xml:space="preserve"> </w:t>
      </w:r>
      <w:r w:rsidRPr="005F02F7">
        <w:t>2011)</w:t>
      </w:r>
    </w:p>
    <w:p w:rsidR="00C11DD7" w:rsidRDefault="00277913" w:rsidP="001955B5">
      <w:pPr>
        <w:pStyle w:val="Tekstpodstawowy"/>
        <w:numPr>
          <w:ilvl w:val="0"/>
          <w:numId w:val="22"/>
        </w:numPr>
      </w:pPr>
      <w:r>
        <w:t>Rozporządzenie Ministra Zdrowia z dnia 2 września 2003 r. w sprawie oznakowania opakowań substancji niebezpiecznych i preparatów niebezpiecznych (Dz. U. nr 73, poz.</w:t>
      </w:r>
      <w:r w:rsidRPr="00C11DD7">
        <w:rPr>
          <w:spacing w:val="-13"/>
        </w:rPr>
        <w:t xml:space="preserve"> </w:t>
      </w:r>
      <w:r>
        <w:t>1679)</w:t>
      </w:r>
    </w:p>
    <w:p w:rsidR="00C11DD7" w:rsidRDefault="00277913" w:rsidP="001955B5">
      <w:pPr>
        <w:pStyle w:val="Tekstpodstawowy"/>
        <w:numPr>
          <w:ilvl w:val="0"/>
          <w:numId w:val="22"/>
        </w:numPr>
      </w:pPr>
      <w:r>
        <w:t>Umowa europejska dotycząca międzynarodowego przewozu towarów niebezpiecznych</w:t>
      </w:r>
      <w:r w:rsidRPr="00C11DD7">
        <w:rPr>
          <w:spacing w:val="-15"/>
        </w:rPr>
        <w:t xml:space="preserve"> </w:t>
      </w:r>
      <w:r>
        <w:t>(RID/ADR)</w:t>
      </w:r>
    </w:p>
    <w:p w:rsidR="00C11DD7" w:rsidRDefault="00277913" w:rsidP="001955B5">
      <w:pPr>
        <w:pStyle w:val="Tekstpodstawowy"/>
        <w:numPr>
          <w:ilvl w:val="0"/>
          <w:numId w:val="22"/>
        </w:numPr>
      </w:pPr>
      <w:r>
        <w:t>Zalecenia IBDiM do udzielania aprobat technicznych nr Z/2009-03-021, zeszyt 75, Materiały do poziomego oznakowania</w:t>
      </w:r>
      <w:r w:rsidRPr="00C11DD7">
        <w:rPr>
          <w:spacing w:val="-4"/>
        </w:rPr>
        <w:t xml:space="preserve"> </w:t>
      </w:r>
      <w:r>
        <w:t>dróg</w:t>
      </w:r>
    </w:p>
    <w:p w:rsidR="00A52CC6" w:rsidRDefault="00277913" w:rsidP="001955B5">
      <w:pPr>
        <w:pStyle w:val="Tekstpodstawowy"/>
        <w:numPr>
          <w:ilvl w:val="0"/>
          <w:numId w:val="22"/>
        </w:numPr>
      </w:pPr>
      <w:r>
        <w:t>POD</w:t>
      </w:r>
      <w:r w:rsidRPr="00C11DD7">
        <w:rPr>
          <w:spacing w:val="-7"/>
        </w:rPr>
        <w:t xml:space="preserve"> </w:t>
      </w:r>
      <w:r>
        <w:t>–</w:t>
      </w:r>
      <w:r w:rsidRPr="00C11DD7">
        <w:rPr>
          <w:spacing w:val="-3"/>
        </w:rPr>
        <w:t xml:space="preserve"> </w:t>
      </w:r>
      <w:r>
        <w:t>97</w:t>
      </w:r>
      <w:r w:rsidRPr="00C11DD7">
        <w:rPr>
          <w:spacing w:val="-3"/>
        </w:rPr>
        <w:t xml:space="preserve"> </w:t>
      </w:r>
      <w:r>
        <w:t>Warunki</w:t>
      </w:r>
      <w:r w:rsidRPr="00C11DD7">
        <w:rPr>
          <w:spacing w:val="-6"/>
        </w:rPr>
        <w:t xml:space="preserve"> </w:t>
      </w:r>
      <w:r>
        <w:t>Techniczne.</w:t>
      </w:r>
      <w:r w:rsidRPr="00C11DD7">
        <w:rPr>
          <w:spacing w:val="-2"/>
        </w:rPr>
        <w:t xml:space="preserve"> </w:t>
      </w:r>
      <w:r>
        <w:t>Poziome</w:t>
      </w:r>
      <w:r w:rsidRPr="00C11DD7">
        <w:rPr>
          <w:spacing w:val="-5"/>
        </w:rPr>
        <w:t xml:space="preserve"> </w:t>
      </w:r>
      <w:r>
        <w:t>znakowanie</w:t>
      </w:r>
      <w:r w:rsidRPr="00C11DD7">
        <w:rPr>
          <w:spacing w:val="-6"/>
        </w:rPr>
        <w:t xml:space="preserve"> </w:t>
      </w:r>
      <w:r>
        <w:t>dróg,</w:t>
      </w:r>
      <w:r w:rsidRPr="00C11DD7">
        <w:rPr>
          <w:spacing w:val="-3"/>
        </w:rPr>
        <w:t xml:space="preserve"> </w:t>
      </w:r>
      <w:r>
        <w:t>Seria</w:t>
      </w:r>
      <w:r w:rsidRPr="00C11DD7">
        <w:rPr>
          <w:spacing w:val="-3"/>
        </w:rPr>
        <w:t xml:space="preserve"> </w:t>
      </w:r>
      <w:r>
        <w:t>I,</w:t>
      </w:r>
      <w:r w:rsidRPr="00C11DD7">
        <w:rPr>
          <w:spacing w:val="-6"/>
        </w:rPr>
        <w:t xml:space="preserve"> </w:t>
      </w:r>
      <w:r>
        <w:t>Zeszyt</w:t>
      </w:r>
      <w:r w:rsidRPr="00C11DD7">
        <w:rPr>
          <w:spacing w:val="-3"/>
        </w:rPr>
        <w:t xml:space="preserve"> </w:t>
      </w:r>
      <w:r>
        <w:t>55,</w:t>
      </w:r>
      <w:r w:rsidRPr="00C11DD7">
        <w:rPr>
          <w:spacing w:val="-3"/>
        </w:rPr>
        <w:t xml:space="preserve"> </w:t>
      </w:r>
      <w:r>
        <w:t>IBDiM,</w:t>
      </w:r>
      <w:r w:rsidRPr="00C11DD7">
        <w:rPr>
          <w:spacing w:val="-9"/>
        </w:rPr>
        <w:t xml:space="preserve"> </w:t>
      </w:r>
      <w:r>
        <w:t>1997</w:t>
      </w:r>
      <w:r w:rsidRPr="00C11DD7">
        <w:rPr>
          <w:spacing w:val="-5"/>
        </w:rPr>
        <w:t xml:space="preserve"> </w:t>
      </w:r>
      <w:r>
        <w:t>r. Ustawa z dnia 16 kwietnia 2004r. o wyrobach budowlanych (Dz.U. nr 92, poz.</w:t>
      </w:r>
      <w:r w:rsidRPr="00C11DD7">
        <w:rPr>
          <w:spacing w:val="-30"/>
        </w:rPr>
        <w:t xml:space="preserve"> </w:t>
      </w:r>
      <w:r>
        <w:t>0881).</w:t>
      </w:r>
    </w:p>
    <w:sectPr w:rsidR="00A52CC6" w:rsidSect="001955B5">
      <w:headerReference w:type="default" r:id="rId9"/>
      <w:footerReference w:type="default" r:id="rId10"/>
      <w:pgSz w:w="12240" w:h="15840" w:code="1"/>
      <w:pgMar w:top="567" w:right="567" w:bottom="567" w:left="567" w:header="170" w:footer="170" w:gutter="284"/>
      <w:pgBorders w:offsetFrom="page">
        <w:top w:val="single" w:sz="4" w:space="24" w:color="auto"/>
        <w:bottom w:val="single" w:sz="4" w:space="24" w:color="auto"/>
      </w:pgBorders>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B98" w:rsidRDefault="00746B98">
      <w:r>
        <w:separator/>
      </w:r>
    </w:p>
  </w:endnote>
  <w:endnote w:type="continuationSeparator" w:id="0">
    <w:p w:rsidR="00746B98" w:rsidRDefault="00746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312596"/>
      <w:docPartObj>
        <w:docPartGallery w:val="Page Numbers (Bottom of Page)"/>
        <w:docPartUnique/>
      </w:docPartObj>
    </w:sdtPr>
    <w:sdtEndPr/>
    <w:sdtContent>
      <w:p w:rsidR="00491FE1" w:rsidRDefault="00491FE1" w:rsidP="001955B5">
        <w:pPr>
          <w:pStyle w:val="Stopka"/>
          <w:tabs>
            <w:tab w:val="left" w:pos="5222"/>
            <w:tab w:val="center" w:pos="5411"/>
          </w:tabs>
          <w:jc w:val="center"/>
        </w:pPr>
        <w:r>
          <w:fldChar w:fldCharType="begin"/>
        </w:r>
        <w:r>
          <w:instrText>PAGE   \* MERGEFORMAT</w:instrText>
        </w:r>
        <w:r>
          <w:fldChar w:fldCharType="separate"/>
        </w:r>
        <w:r w:rsidR="00CA5F38">
          <w:rPr>
            <w:noProof/>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B98" w:rsidRDefault="00746B98">
      <w:r>
        <w:separator/>
      </w:r>
    </w:p>
  </w:footnote>
  <w:footnote w:type="continuationSeparator" w:id="0">
    <w:p w:rsidR="00746B98" w:rsidRDefault="00746B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FE1" w:rsidRPr="00491FE1" w:rsidRDefault="00491FE1" w:rsidP="00491FE1">
    <w:pPr>
      <w:pStyle w:val="Nagwek"/>
      <w:jc w:val="center"/>
      <w:rPr>
        <w:sz w:val="18"/>
        <w:szCs w:val="18"/>
      </w:rPr>
    </w:pPr>
    <w:r w:rsidRPr="00491FE1">
      <w:rPr>
        <w:sz w:val="18"/>
        <w:szCs w:val="18"/>
      </w:rPr>
      <w:t>SPECYFIKACJA TECHNICZNA WYKONANIA I ODBIORU ROBÓT BUDOWLANYCH D.07.01.01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6E89"/>
    <w:multiLevelType w:val="hybridMultilevel"/>
    <w:tmpl w:val="83B09060"/>
    <w:lvl w:ilvl="0" w:tplc="47005E7C">
      <w:numFmt w:val="bullet"/>
      <w:lvlText w:val="-"/>
      <w:lvlJc w:val="left"/>
      <w:pPr>
        <w:ind w:left="106" w:hanging="104"/>
      </w:pPr>
      <w:rPr>
        <w:rFonts w:ascii="Arial" w:eastAsia="Arial" w:hAnsi="Arial" w:cs="Arial" w:hint="default"/>
        <w:w w:val="99"/>
        <w:sz w:val="17"/>
        <w:szCs w:val="17"/>
        <w:lang w:val="pl-PL" w:eastAsia="en-US" w:bidi="ar-SA"/>
      </w:rPr>
    </w:lvl>
    <w:lvl w:ilvl="1" w:tplc="1A14C3C0">
      <w:numFmt w:val="bullet"/>
      <w:lvlText w:val="•"/>
      <w:lvlJc w:val="left"/>
      <w:pPr>
        <w:ind w:left="538" w:hanging="104"/>
      </w:pPr>
      <w:rPr>
        <w:rFonts w:hint="default"/>
        <w:lang w:val="pl-PL" w:eastAsia="en-US" w:bidi="ar-SA"/>
      </w:rPr>
    </w:lvl>
    <w:lvl w:ilvl="2" w:tplc="4E5A3280">
      <w:numFmt w:val="bullet"/>
      <w:lvlText w:val="•"/>
      <w:lvlJc w:val="left"/>
      <w:pPr>
        <w:ind w:left="977" w:hanging="104"/>
      </w:pPr>
      <w:rPr>
        <w:rFonts w:hint="default"/>
        <w:lang w:val="pl-PL" w:eastAsia="en-US" w:bidi="ar-SA"/>
      </w:rPr>
    </w:lvl>
    <w:lvl w:ilvl="3" w:tplc="DC845CE6">
      <w:numFmt w:val="bullet"/>
      <w:lvlText w:val="•"/>
      <w:lvlJc w:val="left"/>
      <w:pPr>
        <w:ind w:left="1416" w:hanging="104"/>
      </w:pPr>
      <w:rPr>
        <w:rFonts w:hint="default"/>
        <w:lang w:val="pl-PL" w:eastAsia="en-US" w:bidi="ar-SA"/>
      </w:rPr>
    </w:lvl>
    <w:lvl w:ilvl="4" w:tplc="7D9E97EE">
      <w:numFmt w:val="bullet"/>
      <w:lvlText w:val="•"/>
      <w:lvlJc w:val="left"/>
      <w:pPr>
        <w:ind w:left="1855" w:hanging="104"/>
      </w:pPr>
      <w:rPr>
        <w:rFonts w:hint="default"/>
        <w:lang w:val="pl-PL" w:eastAsia="en-US" w:bidi="ar-SA"/>
      </w:rPr>
    </w:lvl>
    <w:lvl w:ilvl="5" w:tplc="0C928100">
      <w:numFmt w:val="bullet"/>
      <w:lvlText w:val="•"/>
      <w:lvlJc w:val="left"/>
      <w:pPr>
        <w:ind w:left="2294" w:hanging="104"/>
      </w:pPr>
      <w:rPr>
        <w:rFonts w:hint="default"/>
        <w:lang w:val="pl-PL" w:eastAsia="en-US" w:bidi="ar-SA"/>
      </w:rPr>
    </w:lvl>
    <w:lvl w:ilvl="6" w:tplc="82C40D76">
      <w:numFmt w:val="bullet"/>
      <w:lvlText w:val="•"/>
      <w:lvlJc w:val="left"/>
      <w:pPr>
        <w:ind w:left="2733" w:hanging="104"/>
      </w:pPr>
      <w:rPr>
        <w:rFonts w:hint="default"/>
        <w:lang w:val="pl-PL" w:eastAsia="en-US" w:bidi="ar-SA"/>
      </w:rPr>
    </w:lvl>
    <w:lvl w:ilvl="7" w:tplc="B6045B1C">
      <w:numFmt w:val="bullet"/>
      <w:lvlText w:val="•"/>
      <w:lvlJc w:val="left"/>
      <w:pPr>
        <w:ind w:left="3172" w:hanging="104"/>
      </w:pPr>
      <w:rPr>
        <w:rFonts w:hint="default"/>
        <w:lang w:val="pl-PL" w:eastAsia="en-US" w:bidi="ar-SA"/>
      </w:rPr>
    </w:lvl>
    <w:lvl w:ilvl="8" w:tplc="C6A669AA">
      <w:numFmt w:val="bullet"/>
      <w:lvlText w:val="•"/>
      <w:lvlJc w:val="left"/>
      <w:pPr>
        <w:ind w:left="3611" w:hanging="104"/>
      </w:pPr>
      <w:rPr>
        <w:rFonts w:hint="default"/>
        <w:lang w:val="pl-PL" w:eastAsia="en-US" w:bidi="ar-SA"/>
      </w:rPr>
    </w:lvl>
  </w:abstractNum>
  <w:abstractNum w:abstractNumId="1">
    <w:nsid w:val="1060707A"/>
    <w:multiLevelType w:val="hybridMultilevel"/>
    <w:tmpl w:val="98903244"/>
    <w:lvl w:ilvl="0" w:tplc="E7F66C3C">
      <w:numFmt w:val="bullet"/>
      <w:lvlText w:val="-"/>
      <w:lvlJc w:val="left"/>
      <w:pPr>
        <w:ind w:left="107" w:hanging="104"/>
      </w:pPr>
      <w:rPr>
        <w:rFonts w:ascii="Arial" w:eastAsia="Arial" w:hAnsi="Arial" w:cs="Arial" w:hint="default"/>
        <w:w w:val="99"/>
        <w:sz w:val="17"/>
        <w:szCs w:val="17"/>
        <w:lang w:val="pl-PL" w:eastAsia="en-US" w:bidi="ar-SA"/>
      </w:rPr>
    </w:lvl>
    <w:lvl w:ilvl="1" w:tplc="C1960A4C">
      <w:numFmt w:val="bullet"/>
      <w:lvlText w:val="•"/>
      <w:lvlJc w:val="left"/>
      <w:pPr>
        <w:ind w:left="539" w:hanging="104"/>
      </w:pPr>
      <w:rPr>
        <w:rFonts w:hint="default"/>
        <w:lang w:val="pl-PL" w:eastAsia="en-US" w:bidi="ar-SA"/>
      </w:rPr>
    </w:lvl>
    <w:lvl w:ilvl="2" w:tplc="87AC6AF6">
      <w:numFmt w:val="bullet"/>
      <w:lvlText w:val="•"/>
      <w:lvlJc w:val="left"/>
      <w:pPr>
        <w:ind w:left="978" w:hanging="104"/>
      </w:pPr>
      <w:rPr>
        <w:rFonts w:hint="default"/>
        <w:lang w:val="pl-PL" w:eastAsia="en-US" w:bidi="ar-SA"/>
      </w:rPr>
    </w:lvl>
    <w:lvl w:ilvl="3" w:tplc="E416BA80">
      <w:numFmt w:val="bullet"/>
      <w:lvlText w:val="•"/>
      <w:lvlJc w:val="left"/>
      <w:pPr>
        <w:ind w:left="1417" w:hanging="104"/>
      </w:pPr>
      <w:rPr>
        <w:rFonts w:hint="default"/>
        <w:lang w:val="pl-PL" w:eastAsia="en-US" w:bidi="ar-SA"/>
      </w:rPr>
    </w:lvl>
    <w:lvl w:ilvl="4" w:tplc="3CAA9C12">
      <w:numFmt w:val="bullet"/>
      <w:lvlText w:val="•"/>
      <w:lvlJc w:val="left"/>
      <w:pPr>
        <w:ind w:left="1856" w:hanging="104"/>
      </w:pPr>
      <w:rPr>
        <w:rFonts w:hint="default"/>
        <w:lang w:val="pl-PL" w:eastAsia="en-US" w:bidi="ar-SA"/>
      </w:rPr>
    </w:lvl>
    <w:lvl w:ilvl="5" w:tplc="EDCC2A5C">
      <w:numFmt w:val="bullet"/>
      <w:lvlText w:val="•"/>
      <w:lvlJc w:val="left"/>
      <w:pPr>
        <w:ind w:left="2295" w:hanging="104"/>
      </w:pPr>
      <w:rPr>
        <w:rFonts w:hint="default"/>
        <w:lang w:val="pl-PL" w:eastAsia="en-US" w:bidi="ar-SA"/>
      </w:rPr>
    </w:lvl>
    <w:lvl w:ilvl="6" w:tplc="740EDB48">
      <w:numFmt w:val="bullet"/>
      <w:lvlText w:val="•"/>
      <w:lvlJc w:val="left"/>
      <w:pPr>
        <w:ind w:left="2734" w:hanging="104"/>
      </w:pPr>
      <w:rPr>
        <w:rFonts w:hint="default"/>
        <w:lang w:val="pl-PL" w:eastAsia="en-US" w:bidi="ar-SA"/>
      </w:rPr>
    </w:lvl>
    <w:lvl w:ilvl="7" w:tplc="DE88C70C">
      <w:numFmt w:val="bullet"/>
      <w:lvlText w:val="•"/>
      <w:lvlJc w:val="left"/>
      <w:pPr>
        <w:ind w:left="3173" w:hanging="104"/>
      </w:pPr>
      <w:rPr>
        <w:rFonts w:hint="default"/>
        <w:lang w:val="pl-PL" w:eastAsia="en-US" w:bidi="ar-SA"/>
      </w:rPr>
    </w:lvl>
    <w:lvl w:ilvl="8" w:tplc="A16E94D4">
      <w:numFmt w:val="bullet"/>
      <w:lvlText w:val="•"/>
      <w:lvlJc w:val="left"/>
      <w:pPr>
        <w:ind w:left="3612" w:hanging="104"/>
      </w:pPr>
      <w:rPr>
        <w:rFonts w:hint="default"/>
        <w:lang w:val="pl-PL" w:eastAsia="en-US" w:bidi="ar-SA"/>
      </w:rPr>
    </w:lvl>
  </w:abstractNum>
  <w:abstractNum w:abstractNumId="2">
    <w:nsid w:val="13277214"/>
    <w:multiLevelType w:val="hybridMultilevel"/>
    <w:tmpl w:val="6CCC6C2C"/>
    <w:lvl w:ilvl="0" w:tplc="4694F308">
      <w:numFmt w:val="bullet"/>
      <w:lvlText w:val="-"/>
      <w:lvlJc w:val="left"/>
      <w:pPr>
        <w:ind w:left="107" w:hanging="104"/>
      </w:pPr>
      <w:rPr>
        <w:rFonts w:ascii="Arial" w:eastAsia="Arial" w:hAnsi="Arial" w:cs="Arial" w:hint="default"/>
        <w:w w:val="99"/>
        <w:sz w:val="17"/>
        <w:szCs w:val="17"/>
        <w:lang w:val="pl-PL" w:eastAsia="en-US" w:bidi="ar-SA"/>
      </w:rPr>
    </w:lvl>
    <w:lvl w:ilvl="1" w:tplc="052A802A">
      <w:numFmt w:val="bullet"/>
      <w:lvlText w:val="•"/>
      <w:lvlJc w:val="left"/>
      <w:pPr>
        <w:ind w:left="539" w:hanging="104"/>
      </w:pPr>
      <w:rPr>
        <w:rFonts w:hint="default"/>
        <w:lang w:val="pl-PL" w:eastAsia="en-US" w:bidi="ar-SA"/>
      </w:rPr>
    </w:lvl>
    <w:lvl w:ilvl="2" w:tplc="300A5018">
      <w:numFmt w:val="bullet"/>
      <w:lvlText w:val="•"/>
      <w:lvlJc w:val="left"/>
      <w:pPr>
        <w:ind w:left="978" w:hanging="104"/>
      </w:pPr>
      <w:rPr>
        <w:rFonts w:hint="default"/>
        <w:lang w:val="pl-PL" w:eastAsia="en-US" w:bidi="ar-SA"/>
      </w:rPr>
    </w:lvl>
    <w:lvl w:ilvl="3" w:tplc="2F96DC78">
      <w:numFmt w:val="bullet"/>
      <w:lvlText w:val="•"/>
      <w:lvlJc w:val="left"/>
      <w:pPr>
        <w:ind w:left="1417" w:hanging="104"/>
      </w:pPr>
      <w:rPr>
        <w:rFonts w:hint="default"/>
        <w:lang w:val="pl-PL" w:eastAsia="en-US" w:bidi="ar-SA"/>
      </w:rPr>
    </w:lvl>
    <w:lvl w:ilvl="4" w:tplc="A128E834">
      <w:numFmt w:val="bullet"/>
      <w:lvlText w:val="•"/>
      <w:lvlJc w:val="left"/>
      <w:pPr>
        <w:ind w:left="1856" w:hanging="104"/>
      </w:pPr>
      <w:rPr>
        <w:rFonts w:hint="default"/>
        <w:lang w:val="pl-PL" w:eastAsia="en-US" w:bidi="ar-SA"/>
      </w:rPr>
    </w:lvl>
    <w:lvl w:ilvl="5" w:tplc="D40452C2">
      <w:numFmt w:val="bullet"/>
      <w:lvlText w:val="•"/>
      <w:lvlJc w:val="left"/>
      <w:pPr>
        <w:ind w:left="2295" w:hanging="104"/>
      </w:pPr>
      <w:rPr>
        <w:rFonts w:hint="default"/>
        <w:lang w:val="pl-PL" w:eastAsia="en-US" w:bidi="ar-SA"/>
      </w:rPr>
    </w:lvl>
    <w:lvl w:ilvl="6" w:tplc="3BFA6A9E">
      <w:numFmt w:val="bullet"/>
      <w:lvlText w:val="•"/>
      <w:lvlJc w:val="left"/>
      <w:pPr>
        <w:ind w:left="2734" w:hanging="104"/>
      </w:pPr>
      <w:rPr>
        <w:rFonts w:hint="default"/>
        <w:lang w:val="pl-PL" w:eastAsia="en-US" w:bidi="ar-SA"/>
      </w:rPr>
    </w:lvl>
    <w:lvl w:ilvl="7" w:tplc="85988340">
      <w:numFmt w:val="bullet"/>
      <w:lvlText w:val="•"/>
      <w:lvlJc w:val="left"/>
      <w:pPr>
        <w:ind w:left="3173" w:hanging="104"/>
      </w:pPr>
      <w:rPr>
        <w:rFonts w:hint="default"/>
        <w:lang w:val="pl-PL" w:eastAsia="en-US" w:bidi="ar-SA"/>
      </w:rPr>
    </w:lvl>
    <w:lvl w:ilvl="8" w:tplc="D0641412">
      <w:numFmt w:val="bullet"/>
      <w:lvlText w:val="•"/>
      <w:lvlJc w:val="left"/>
      <w:pPr>
        <w:ind w:left="3612" w:hanging="104"/>
      </w:pPr>
      <w:rPr>
        <w:rFonts w:hint="default"/>
        <w:lang w:val="pl-PL" w:eastAsia="en-US" w:bidi="ar-SA"/>
      </w:rPr>
    </w:lvl>
  </w:abstractNum>
  <w:abstractNum w:abstractNumId="3">
    <w:nsid w:val="176C316A"/>
    <w:multiLevelType w:val="hybridMultilevel"/>
    <w:tmpl w:val="F3B6116C"/>
    <w:lvl w:ilvl="0" w:tplc="D5A2484A">
      <w:numFmt w:val="bullet"/>
      <w:lvlText w:val="-"/>
      <w:lvlJc w:val="left"/>
      <w:pPr>
        <w:ind w:left="106" w:hanging="104"/>
      </w:pPr>
      <w:rPr>
        <w:rFonts w:ascii="Arial" w:eastAsia="Arial" w:hAnsi="Arial" w:cs="Arial" w:hint="default"/>
        <w:w w:val="99"/>
        <w:sz w:val="17"/>
        <w:szCs w:val="17"/>
        <w:lang w:val="pl-PL" w:eastAsia="en-US" w:bidi="ar-SA"/>
      </w:rPr>
    </w:lvl>
    <w:lvl w:ilvl="1" w:tplc="9B1E45D8">
      <w:numFmt w:val="bullet"/>
      <w:lvlText w:val="•"/>
      <w:lvlJc w:val="left"/>
      <w:pPr>
        <w:ind w:left="538" w:hanging="104"/>
      </w:pPr>
      <w:rPr>
        <w:rFonts w:hint="default"/>
        <w:lang w:val="pl-PL" w:eastAsia="en-US" w:bidi="ar-SA"/>
      </w:rPr>
    </w:lvl>
    <w:lvl w:ilvl="2" w:tplc="F600F338">
      <w:numFmt w:val="bullet"/>
      <w:lvlText w:val="•"/>
      <w:lvlJc w:val="left"/>
      <w:pPr>
        <w:ind w:left="977" w:hanging="104"/>
      </w:pPr>
      <w:rPr>
        <w:rFonts w:hint="default"/>
        <w:lang w:val="pl-PL" w:eastAsia="en-US" w:bidi="ar-SA"/>
      </w:rPr>
    </w:lvl>
    <w:lvl w:ilvl="3" w:tplc="5C4AF116">
      <w:numFmt w:val="bullet"/>
      <w:lvlText w:val="•"/>
      <w:lvlJc w:val="left"/>
      <w:pPr>
        <w:ind w:left="1416" w:hanging="104"/>
      </w:pPr>
      <w:rPr>
        <w:rFonts w:hint="default"/>
        <w:lang w:val="pl-PL" w:eastAsia="en-US" w:bidi="ar-SA"/>
      </w:rPr>
    </w:lvl>
    <w:lvl w:ilvl="4" w:tplc="993CF972">
      <w:numFmt w:val="bullet"/>
      <w:lvlText w:val="•"/>
      <w:lvlJc w:val="left"/>
      <w:pPr>
        <w:ind w:left="1855" w:hanging="104"/>
      </w:pPr>
      <w:rPr>
        <w:rFonts w:hint="default"/>
        <w:lang w:val="pl-PL" w:eastAsia="en-US" w:bidi="ar-SA"/>
      </w:rPr>
    </w:lvl>
    <w:lvl w:ilvl="5" w:tplc="3B0A4CC2">
      <w:numFmt w:val="bullet"/>
      <w:lvlText w:val="•"/>
      <w:lvlJc w:val="left"/>
      <w:pPr>
        <w:ind w:left="2294" w:hanging="104"/>
      </w:pPr>
      <w:rPr>
        <w:rFonts w:hint="default"/>
        <w:lang w:val="pl-PL" w:eastAsia="en-US" w:bidi="ar-SA"/>
      </w:rPr>
    </w:lvl>
    <w:lvl w:ilvl="6" w:tplc="0F0A6C86">
      <w:numFmt w:val="bullet"/>
      <w:lvlText w:val="•"/>
      <w:lvlJc w:val="left"/>
      <w:pPr>
        <w:ind w:left="2733" w:hanging="104"/>
      </w:pPr>
      <w:rPr>
        <w:rFonts w:hint="default"/>
        <w:lang w:val="pl-PL" w:eastAsia="en-US" w:bidi="ar-SA"/>
      </w:rPr>
    </w:lvl>
    <w:lvl w:ilvl="7" w:tplc="A7A4A77C">
      <w:numFmt w:val="bullet"/>
      <w:lvlText w:val="•"/>
      <w:lvlJc w:val="left"/>
      <w:pPr>
        <w:ind w:left="3172" w:hanging="104"/>
      </w:pPr>
      <w:rPr>
        <w:rFonts w:hint="default"/>
        <w:lang w:val="pl-PL" w:eastAsia="en-US" w:bidi="ar-SA"/>
      </w:rPr>
    </w:lvl>
    <w:lvl w:ilvl="8" w:tplc="B42ED0E2">
      <w:numFmt w:val="bullet"/>
      <w:lvlText w:val="•"/>
      <w:lvlJc w:val="left"/>
      <w:pPr>
        <w:ind w:left="3611" w:hanging="104"/>
      </w:pPr>
      <w:rPr>
        <w:rFonts w:hint="default"/>
        <w:lang w:val="pl-PL" w:eastAsia="en-US" w:bidi="ar-SA"/>
      </w:rPr>
    </w:lvl>
  </w:abstractNum>
  <w:abstractNum w:abstractNumId="4">
    <w:nsid w:val="1A9E6183"/>
    <w:multiLevelType w:val="hybridMultilevel"/>
    <w:tmpl w:val="4A644A22"/>
    <w:lvl w:ilvl="0" w:tplc="8B20C07E">
      <w:numFmt w:val="bullet"/>
      <w:lvlText w:val="-"/>
      <w:lvlJc w:val="left"/>
      <w:pPr>
        <w:ind w:left="107" w:hanging="104"/>
      </w:pPr>
      <w:rPr>
        <w:rFonts w:ascii="Arial" w:eastAsia="Arial" w:hAnsi="Arial" w:cs="Arial" w:hint="default"/>
        <w:w w:val="99"/>
        <w:sz w:val="17"/>
        <w:szCs w:val="17"/>
        <w:lang w:val="pl-PL" w:eastAsia="en-US" w:bidi="ar-SA"/>
      </w:rPr>
    </w:lvl>
    <w:lvl w:ilvl="1" w:tplc="5696236C">
      <w:numFmt w:val="bullet"/>
      <w:lvlText w:val="•"/>
      <w:lvlJc w:val="left"/>
      <w:pPr>
        <w:ind w:left="539" w:hanging="104"/>
      </w:pPr>
      <w:rPr>
        <w:rFonts w:hint="default"/>
        <w:lang w:val="pl-PL" w:eastAsia="en-US" w:bidi="ar-SA"/>
      </w:rPr>
    </w:lvl>
    <w:lvl w:ilvl="2" w:tplc="4CC6AB82">
      <w:numFmt w:val="bullet"/>
      <w:lvlText w:val="•"/>
      <w:lvlJc w:val="left"/>
      <w:pPr>
        <w:ind w:left="978" w:hanging="104"/>
      </w:pPr>
      <w:rPr>
        <w:rFonts w:hint="default"/>
        <w:lang w:val="pl-PL" w:eastAsia="en-US" w:bidi="ar-SA"/>
      </w:rPr>
    </w:lvl>
    <w:lvl w:ilvl="3" w:tplc="3396534E">
      <w:numFmt w:val="bullet"/>
      <w:lvlText w:val="•"/>
      <w:lvlJc w:val="left"/>
      <w:pPr>
        <w:ind w:left="1417" w:hanging="104"/>
      </w:pPr>
      <w:rPr>
        <w:rFonts w:hint="default"/>
        <w:lang w:val="pl-PL" w:eastAsia="en-US" w:bidi="ar-SA"/>
      </w:rPr>
    </w:lvl>
    <w:lvl w:ilvl="4" w:tplc="4E2EAE42">
      <w:numFmt w:val="bullet"/>
      <w:lvlText w:val="•"/>
      <w:lvlJc w:val="left"/>
      <w:pPr>
        <w:ind w:left="1856" w:hanging="104"/>
      </w:pPr>
      <w:rPr>
        <w:rFonts w:hint="default"/>
        <w:lang w:val="pl-PL" w:eastAsia="en-US" w:bidi="ar-SA"/>
      </w:rPr>
    </w:lvl>
    <w:lvl w:ilvl="5" w:tplc="B2748ADC">
      <w:numFmt w:val="bullet"/>
      <w:lvlText w:val="•"/>
      <w:lvlJc w:val="left"/>
      <w:pPr>
        <w:ind w:left="2295" w:hanging="104"/>
      </w:pPr>
      <w:rPr>
        <w:rFonts w:hint="default"/>
        <w:lang w:val="pl-PL" w:eastAsia="en-US" w:bidi="ar-SA"/>
      </w:rPr>
    </w:lvl>
    <w:lvl w:ilvl="6" w:tplc="B936EBD2">
      <w:numFmt w:val="bullet"/>
      <w:lvlText w:val="•"/>
      <w:lvlJc w:val="left"/>
      <w:pPr>
        <w:ind w:left="2734" w:hanging="104"/>
      </w:pPr>
      <w:rPr>
        <w:rFonts w:hint="default"/>
        <w:lang w:val="pl-PL" w:eastAsia="en-US" w:bidi="ar-SA"/>
      </w:rPr>
    </w:lvl>
    <w:lvl w:ilvl="7" w:tplc="72DA72D6">
      <w:numFmt w:val="bullet"/>
      <w:lvlText w:val="•"/>
      <w:lvlJc w:val="left"/>
      <w:pPr>
        <w:ind w:left="3173" w:hanging="104"/>
      </w:pPr>
      <w:rPr>
        <w:rFonts w:hint="default"/>
        <w:lang w:val="pl-PL" w:eastAsia="en-US" w:bidi="ar-SA"/>
      </w:rPr>
    </w:lvl>
    <w:lvl w:ilvl="8" w:tplc="F2E01BEE">
      <w:numFmt w:val="bullet"/>
      <w:lvlText w:val="•"/>
      <w:lvlJc w:val="left"/>
      <w:pPr>
        <w:ind w:left="3612" w:hanging="104"/>
      </w:pPr>
      <w:rPr>
        <w:rFonts w:hint="default"/>
        <w:lang w:val="pl-PL" w:eastAsia="en-US" w:bidi="ar-SA"/>
      </w:rPr>
    </w:lvl>
  </w:abstractNum>
  <w:abstractNum w:abstractNumId="5">
    <w:nsid w:val="1C0111FB"/>
    <w:multiLevelType w:val="hybridMultilevel"/>
    <w:tmpl w:val="10C0FB00"/>
    <w:lvl w:ilvl="0" w:tplc="C4DCD168">
      <w:numFmt w:val="bullet"/>
      <w:lvlText w:val="-"/>
      <w:lvlJc w:val="left"/>
      <w:pPr>
        <w:ind w:left="107" w:hanging="104"/>
      </w:pPr>
      <w:rPr>
        <w:rFonts w:ascii="Arial" w:eastAsia="Arial" w:hAnsi="Arial" w:cs="Arial" w:hint="default"/>
        <w:w w:val="99"/>
        <w:sz w:val="17"/>
        <w:szCs w:val="17"/>
        <w:lang w:val="pl-PL" w:eastAsia="en-US" w:bidi="ar-SA"/>
      </w:rPr>
    </w:lvl>
    <w:lvl w:ilvl="1" w:tplc="0BF62404">
      <w:numFmt w:val="bullet"/>
      <w:lvlText w:val="•"/>
      <w:lvlJc w:val="left"/>
      <w:pPr>
        <w:ind w:left="539" w:hanging="104"/>
      </w:pPr>
      <w:rPr>
        <w:rFonts w:hint="default"/>
        <w:lang w:val="pl-PL" w:eastAsia="en-US" w:bidi="ar-SA"/>
      </w:rPr>
    </w:lvl>
    <w:lvl w:ilvl="2" w:tplc="1244288A">
      <w:numFmt w:val="bullet"/>
      <w:lvlText w:val="•"/>
      <w:lvlJc w:val="left"/>
      <w:pPr>
        <w:ind w:left="978" w:hanging="104"/>
      </w:pPr>
      <w:rPr>
        <w:rFonts w:hint="default"/>
        <w:lang w:val="pl-PL" w:eastAsia="en-US" w:bidi="ar-SA"/>
      </w:rPr>
    </w:lvl>
    <w:lvl w:ilvl="3" w:tplc="B990558A">
      <w:numFmt w:val="bullet"/>
      <w:lvlText w:val="•"/>
      <w:lvlJc w:val="left"/>
      <w:pPr>
        <w:ind w:left="1417" w:hanging="104"/>
      </w:pPr>
      <w:rPr>
        <w:rFonts w:hint="default"/>
        <w:lang w:val="pl-PL" w:eastAsia="en-US" w:bidi="ar-SA"/>
      </w:rPr>
    </w:lvl>
    <w:lvl w:ilvl="4" w:tplc="0A2E04E2">
      <w:numFmt w:val="bullet"/>
      <w:lvlText w:val="•"/>
      <w:lvlJc w:val="left"/>
      <w:pPr>
        <w:ind w:left="1856" w:hanging="104"/>
      </w:pPr>
      <w:rPr>
        <w:rFonts w:hint="default"/>
        <w:lang w:val="pl-PL" w:eastAsia="en-US" w:bidi="ar-SA"/>
      </w:rPr>
    </w:lvl>
    <w:lvl w:ilvl="5" w:tplc="D1AEB520">
      <w:numFmt w:val="bullet"/>
      <w:lvlText w:val="•"/>
      <w:lvlJc w:val="left"/>
      <w:pPr>
        <w:ind w:left="2295" w:hanging="104"/>
      </w:pPr>
      <w:rPr>
        <w:rFonts w:hint="default"/>
        <w:lang w:val="pl-PL" w:eastAsia="en-US" w:bidi="ar-SA"/>
      </w:rPr>
    </w:lvl>
    <w:lvl w:ilvl="6" w:tplc="2E10863E">
      <w:numFmt w:val="bullet"/>
      <w:lvlText w:val="•"/>
      <w:lvlJc w:val="left"/>
      <w:pPr>
        <w:ind w:left="2734" w:hanging="104"/>
      </w:pPr>
      <w:rPr>
        <w:rFonts w:hint="default"/>
        <w:lang w:val="pl-PL" w:eastAsia="en-US" w:bidi="ar-SA"/>
      </w:rPr>
    </w:lvl>
    <w:lvl w:ilvl="7" w:tplc="7A44F7AC">
      <w:numFmt w:val="bullet"/>
      <w:lvlText w:val="•"/>
      <w:lvlJc w:val="left"/>
      <w:pPr>
        <w:ind w:left="3173" w:hanging="104"/>
      </w:pPr>
      <w:rPr>
        <w:rFonts w:hint="default"/>
        <w:lang w:val="pl-PL" w:eastAsia="en-US" w:bidi="ar-SA"/>
      </w:rPr>
    </w:lvl>
    <w:lvl w:ilvl="8" w:tplc="466C084C">
      <w:numFmt w:val="bullet"/>
      <w:lvlText w:val="•"/>
      <w:lvlJc w:val="left"/>
      <w:pPr>
        <w:ind w:left="3612" w:hanging="104"/>
      </w:pPr>
      <w:rPr>
        <w:rFonts w:hint="default"/>
        <w:lang w:val="pl-PL" w:eastAsia="en-US" w:bidi="ar-SA"/>
      </w:rPr>
    </w:lvl>
  </w:abstractNum>
  <w:abstractNum w:abstractNumId="6">
    <w:nsid w:val="20757127"/>
    <w:multiLevelType w:val="multilevel"/>
    <w:tmpl w:val="DA6883A6"/>
    <w:lvl w:ilvl="0">
      <w:start w:val="1"/>
      <w:numFmt w:val="decimal"/>
      <w:lvlText w:val="%1."/>
      <w:lvlJc w:val="left"/>
      <w:pPr>
        <w:ind w:left="762" w:hanging="639"/>
        <w:jc w:val="right"/>
      </w:pPr>
      <w:rPr>
        <w:rFonts w:ascii="Arial" w:eastAsia="Arial" w:hAnsi="Arial" w:cs="Arial" w:hint="default"/>
        <w:b/>
        <w:bCs/>
        <w:spacing w:val="-2"/>
        <w:w w:val="99"/>
        <w:sz w:val="17"/>
        <w:szCs w:val="17"/>
        <w:lang w:val="pl-PL" w:eastAsia="en-US" w:bidi="ar-SA"/>
      </w:rPr>
    </w:lvl>
    <w:lvl w:ilvl="1">
      <w:start w:val="1"/>
      <w:numFmt w:val="decimal"/>
      <w:lvlText w:val="%1.%2."/>
      <w:lvlJc w:val="left"/>
      <w:pPr>
        <w:ind w:left="762" w:hanging="639"/>
      </w:pPr>
      <w:rPr>
        <w:rFonts w:ascii="Arial" w:eastAsia="Arial" w:hAnsi="Arial" w:cs="Arial" w:hint="default"/>
        <w:b/>
        <w:bCs/>
        <w:spacing w:val="-2"/>
        <w:w w:val="99"/>
        <w:sz w:val="17"/>
        <w:szCs w:val="17"/>
        <w:lang w:val="pl-PL" w:eastAsia="en-US" w:bidi="ar-SA"/>
      </w:rPr>
    </w:lvl>
    <w:lvl w:ilvl="2">
      <w:start w:val="1"/>
      <w:numFmt w:val="decimal"/>
      <w:lvlText w:val="%1.%2.%3."/>
      <w:lvlJc w:val="left"/>
      <w:pPr>
        <w:ind w:left="124" w:hanging="639"/>
      </w:pPr>
      <w:rPr>
        <w:rFonts w:ascii="Arial" w:eastAsia="Arial" w:hAnsi="Arial" w:cs="Arial" w:hint="default"/>
        <w:b/>
        <w:bCs/>
        <w:spacing w:val="-2"/>
        <w:w w:val="99"/>
        <w:sz w:val="17"/>
        <w:szCs w:val="17"/>
        <w:lang w:val="pl-PL" w:eastAsia="en-US" w:bidi="ar-SA"/>
      </w:rPr>
    </w:lvl>
    <w:lvl w:ilvl="3">
      <w:start w:val="1"/>
      <w:numFmt w:val="decimal"/>
      <w:lvlText w:val="%1.%2.%3.%4."/>
      <w:lvlJc w:val="left"/>
      <w:pPr>
        <w:ind w:left="1192" w:hanging="800"/>
        <w:jc w:val="right"/>
      </w:pPr>
      <w:rPr>
        <w:rFonts w:ascii="Arial" w:eastAsia="Arial" w:hAnsi="Arial" w:cs="Arial" w:hint="default"/>
        <w:b/>
        <w:bCs/>
        <w:spacing w:val="-5"/>
        <w:w w:val="99"/>
        <w:sz w:val="17"/>
        <w:szCs w:val="17"/>
        <w:lang w:val="pl-PL" w:eastAsia="en-US" w:bidi="ar-SA"/>
      </w:rPr>
    </w:lvl>
    <w:lvl w:ilvl="4">
      <w:numFmt w:val="bullet"/>
      <w:lvlText w:val="•"/>
      <w:lvlJc w:val="left"/>
      <w:pPr>
        <w:ind w:left="2357" w:hanging="800"/>
      </w:pPr>
      <w:rPr>
        <w:rFonts w:hint="default"/>
        <w:lang w:val="pl-PL" w:eastAsia="en-US" w:bidi="ar-SA"/>
      </w:rPr>
    </w:lvl>
    <w:lvl w:ilvl="5">
      <w:numFmt w:val="bullet"/>
      <w:lvlText w:val="•"/>
      <w:lvlJc w:val="left"/>
      <w:pPr>
        <w:ind w:left="3514" w:hanging="800"/>
      </w:pPr>
      <w:rPr>
        <w:rFonts w:hint="default"/>
        <w:lang w:val="pl-PL" w:eastAsia="en-US" w:bidi="ar-SA"/>
      </w:rPr>
    </w:lvl>
    <w:lvl w:ilvl="6">
      <w:numFmt w:val="bullet"/>
      <w:lvlText w:val="•"/>
      <w:lvlJc w:val="left"/>
      <w:pPr>
        <w:ind w:left="4671" w:hanging="800"/>
      </w:pPr>
      <w:rPr>
        <w:rFonts w:hint="default"/>
        <w:lang w:val="pl-PL" w:eastAsia="en-US" w:bidi="ar-SA"/>
      </w:rPr>
    </w:lvl>
    <w:lvl w:ilvl="7">
      <w:numFmt w:val="bullet"/>
      <w:lvlText w:val="•"/>
      <w:lvlJc w:val="left"/>
      <w:pPr>
        <w:ind w:left="5828" w:hanging="800"/>
      </w:pPr>
      <w:rPr>
        <w:rFonts w:hint="default"/>
        <w:lang w:val="pl-PL" w:eastAsia="en-US" w:bidi="ar-SA"/>
      </w:rPr>
    </w:lvl>
    <w:lvl w:ilvl="8">
      <w:numFmt w:val="bullet"/>
      <w:lvlText w:val="•"/>
      <w:lvlJc w:val="left"/>
      <w:pPr>
        <w:ind w:left="6985" w:hanging="800"/>
      </w:pPr>
      <w:rPr>
        <w:rFonts w:hint="default"/>
        <w:lang w:val="pl-PL" w:eastAsia="en-US" w:bidi="ar-SA"/>
      </w:rPr>
    </w:lvl>
  </w:abstractNum>
  <w:abstractNum w:abstractNumId="7">
    <w:nsid w:val="2472722D"/>
    <w:multiLevelType w:val="hybridMultilevel"/>
    <w:tmpl w:val="89866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7C57C10"/>
    <w:multiLevelType w:val="hybridMultilevel"/>
    <w:tmpl w:val="8772B48A"/>
    <w:lvl w:ilvl="0" w:tplc="C47E95D2">
      <w:numFmt w:val="bullet"/>
      <w:lvlText w:val="-"/>
      <w:lvlJc w:val="left"/>
      <w:pPr>
        <w:ind w:left="392" w:hanging="173"/>
      </w:pPr>
      <w:rPr>
        <w:rFonts w:ascii="Arial" w:eastAsia="Arial" w:hAnsi="Arial" w:cs="Arial" w:hint="default"/>
        <w:w w:val="99"/>
        <w:sz w:val="17"/>
        <w:szCs w:val="17"/>
        <w:lang w:val="pl-PL" w:eastAsia="en-US" w:bidi="ar-SA"/>
      </w:rPr>
    </w:lvl>
    <w:lvl w:ilvl="1" w:tplc="253A75CC">
      <w:numFmt w:val="bullet"/>
      <w:lvlText w:val="•"/>
      <w:lvlJc w:val="left"/>
      <w:pPr>
        <w:ind w:left="1290" w:hanging="173"/>
      </w:pPr>
      <w:rPr>
        <w:rFonts w:hint="default"/>
        <w:lang w:val="pl-PL" w:eastAsia="en-US" w:bidi="ar-SA"/>
      </w:rPr>
    </w:lvl>
    <w:lvl w:ilvl="2" w:tplc="ADC4D7E6">
      <w:numFmt w:val="bullet"/>
      <w:lvlText w:val="•"/>
      <w:lvlJc w:val="left"/>
      <w:pPr>
        <w:ind w:left="2180" w:hanging="173"/>
      </w:pPr>
      <w:rPr>
        <w:rFonts w:hint="default"/>
        <w:lang w:val="pl-PL" w:eastAsia="en-US" w:bidi="ar-SA"/>
      </w:rPr>
    </w:lvl>
    <w:lvl w:ilvl="3" w:tplc="419C8754">
      <w:numFmt w:val="bullet"/>
      <w:lvlText w:val="•"/>
      <w:lvlJc w:val="left"/>
      <w:pPr>
        <w:ind w:left="3070" w:hanging="173"/>
      </w:pPr>
      <w:rPr>
        <w:rFonts w:hint="default"/>
        <w:lang w:val="pl-PL" w:eastAsia="en-US" w:bidi="ar-SA"/>
      </w:rPr>
    </w:lvl>
    <w:lvl w:ilvl="4" w:tplc="376A3534">
      <w:numFmt w:val="bullet"/>
      <w:lvlText w:val="•"/>
      <w:lvlJc w:val="left"/>
      <w:pPr>
        <w:ind w:left="3960" w:hanging="173"/>
      </w:pPr>
      <w:rPr>
        <w:rFonts w:hint="default"/>
        <w:lang w:val="pl-PL" w:eastAsia="en-US" w:bidi="ar-SA"/>
      </w:rPr>
    </w:lvl>
    <w:lvl w:ilvl="5" w:tplc="817A8DA8">
      <w:numFmt w:val="bullet"/>
      <w:lvlText w:val="•"/>
      <w:lvlJc w:val="left"/>
      <w:pPr>
        <w:ind w:left="4850" w:hanging="173"/>
      </w:pPr>
      <w:rPr>
        <w:rFonts w:hint="default"/>
        <w:lang w:val="pl-PL" w:eastAsia="en-US" w:bidi="ar-SA"/>
      </w:rPr>
    </w:lvl>
    <w:lvl w:ilvl="6" w:tplc="E2B03FF0">
      <w:numFmt w:val="bullet"/>
      <w:lvlText w:val="•"/>
      <w:lvlJc w:val="left"/>
      <w:pPr>
        <w:ind w:left="5740" w:hanging="173"/>
      </w:pPr>
      <w:rPr>
        <w:rFonts w:hint="default"/>
        <w:lang w:val="pl-PL" w:eastAsia="en-US" w:bidi="ar-SA"/>
      </w:rPr>
    </w:lvl>
    <w:lvl w:ilvl="7" w:tplc="397EE612">
      <w:numFmt w:val="bullet"/>
      <w:lvlText w:val="•"/>
      <w:lvlJc w:val="left"/>
      <w:pPr>
        <w:ind w:left="6630" w:hanging="173"/>
      </w:pPr>
      <w:rPr>
        <w:rFonts w:hint="default"/>
        <w:lang w:val="pl-PL" w:eastAsia="en-US" w:bidi="ar-SA"/>
      </w:rPr>
    </w:lvl>
    <w:lvl w:ilvl="8" w:tplc="E1C87172">
      <w:numFmt w:val="bullet"/>
      <w:lvlText w:val="•"/>
      <w:lvlJc w:val="left"/>
      <w:pPr>
        <w:ind w:left="7520" w:hanging="173"/>
      </w:pPr>
      <w:rPr>
        <w:rFonts w:hint="default"/>
        <w:lang w:val="pl-PL" w:eastAsia="en-US" w:bidi="ar-SA"/>
      </w:rPr>
    </w:lvl>
  </w:abstractNum>
  <w:abstractNum w:abstractNumId="9">
    <w:nsid w:val="2E8D11DE"/>
    <w:multiLevelType w:val="hybridMultilevel"/>
    <w:tmpl w:val="3D02FF2E"/>
    <w:lvl w:ilvl="0" w:tplc="4FA84152">
      <w:numFmt w:val="bullet"/>
      <w:lvlText w:val="-"/>
      <w:lvlJc w:val="left"/>
      <w:pPr>
        <w:ind w:left="496" w:hanging="373"/>
      </w:pPr>
      <w:rPr>
        <w:rFonts w:ascii="Arial" w:eastAsia="Arial" w:hAnsi="Arial" w:cs="Arial" w:hint="default"/>
        <w:w w:val="99"/>
        <w:sz w:val="17"/>
        <w:szCs w:val="17"/>
        <w:lang w:val="pl-PL" w:eastAsia="en-US" w:bidi="ar-SA"/>
      </w:rPr>
    </w:lvl>
    <w:lvl w:ilvl="1" w:tplc="574674B0">
      <w:numFmt w:val="bullet"/>
      <w:lvlText w:val="-"/>
      <w:lvlJc w:val="left"/>
      <w:pPr>
        <w:ind w:left="800" w:hanging="305"/>
      </w:pPr>
      <w:rPr>
        <w:rFonts w:ascii="Arial" w:eastAsia="Arial" w:hAnsi="Arial" w:cs="Arial" w:hint="default"/>
        <w:w w:val="99"/>
        <w:sz w:val="17"/>
        <w:szCs w:val="17"/>
        <w:lang w:val="pl-PL" w:eastAsia="en-US" w:bidi="ar-SA"/>
      </w:rPr>
    </w:lvl>
    <w:lvl w:ilvl="2" w:tplc="E1A87CFE">
      <w:numFmt w:val="bullet"/>
      <w:lvlText w:val="-"/>
      <w:lvlJc w:val="left"/>
      <w:pPr>
        <w:ind w:left="1069" w:hanging="305"/>
      </w:pPr>
      <w:rPr>
        <w:rFonts w:ascii="Arial" w:eastAsia="Arial" w:hAnsi="Arial" w:cs="Arial" w:hint="default"/>
        <w:w w:val="99"/>
        <w:sz w:val="17"/>
        <w:szCs w:val="17"/>
        <w:lang w:val="pl-PL" w:eastAsia="en-US" w:bidi="ar-SA"/>
      </w:rPr>
    </w:lvl>
    <w:lvl w:ilvl="3" w:tplc="95A097CC">
      <w:numFmt w:val="bullet"/>
      <w:lvlText w:val="•"/>
      <w:lvlJc w:val="left"/>
      <w:pPr>
        <w:ind w:left="2090" w:hanging="305"/>
      </w:pPr>
      <w:rPr>
        <w:rFonts w:hint="default"/>
        <w:lang w:val="pl-PL" w:eastAsia="en-US" w:bidi="ar-SA"/>
      </w:rPr>
    </w:lvl>
    <w:lvl w:ilvl="4" w:tplc="FC029ACC">
      <w:numFmt w:val="bullet"/>
      <w:lvlText w:val="•"/>
      <w:lvlJc w:val="left"/>
      <w:pPr>
        <w:ind w:left="3120" w:hanging="305"/>
      </w:pPr>
      <w:rPr>
        <w:rFonts w:hint="default"/>
        <w:lang w:val="pl-PL" w:eastAsia="en-US" w:bidi="ar-SA"/>
      </w:rPr>
    </w:lvl>
    <w:lvl w:ilvl="5" w:tplc="0ADE559E">
      <w:numFmt w:val="bullet"/>
      <w:lvlText w:val="•"/>
      <w:lvlJc w:val="left"/>
      <w:pPr>
        <w:ind w:left="4150" w:hanging="305"/>
      </w:pPr>
      <w:rPr>
        <w:rFonts w:hint="default"/>
        <w:lang w:val="pl-PL" w:eastAsia="en-US" w:bidi="ar-SA"/>
      </w:rPr>
    </w:lvl>
    <w:lvl w:ilvl="6" w:tplc="1D548CD4">
      <w:numFmt w:val="bullet"/>
      <w:lvlText w:val="•"/>
      <w:lvlJc w:val="left"/>
      <w:pPr>
        <w:ind w:left="5180" w:hanging="305"/>
      </w:pPr>
      <w:rPr>
        <w:rFonts w:hint="default"/>
        <w:lang w:val="pl-PL" w:eastAsia="en-US" w:bidi="ar-SA"/>
      </w:rPr>
    </w:lvl>
    <w:lvl w:ilvl="7" w:tplc="01A0ADA6">
      <w:numFmt w:val="bullet"/>
      <w:lvlText w:val="•"/>
      <w:lvlJc w:val="left"/>
      <w:pPr>
        <w:ind w:left="6210" w:hanging="305"/>
      </w:pPr>
      <w:rPr>
        <w:rFonts w:hint="default"/>
        <w:lang w:val="pl-PL" w:eastAsia="en-US" w:bidi="ar-SA"/>
      </w:rPr>
    </w:lvl>
    <w:lvl w:ilvl="8" w:tplc="4EC2D538">
      <w:numFmt w:val="bullet"/>
      <w:lvlText w:val="•"/>
      <w:lvlJc w:val="left"/>
      <w:pPr>
        <w:ind w:left="7240" w:hanging="305"/>
      </w:pPr>
      <w:rPr>
        <w:rFonts w:hint="default"/>
        <w:lang w:val="pl-PL" w:eastAsia="en-US" w:bidi="ar-SA"/>
      </w:rPr>
    </w:lvl>
  </w:abstractNum>
  <w:abstractNum w:abstractNumId="10">
    <w:nsid w:val="40320FFD"/>
    <w:multiLevelType w:val="hybridMultilevel"/>
    <w:tmpl w:val="2FE48872"/>
    <w:lvl w:ilvl="0" w:tplc="194A90C0">
      <w:numFmt w:val="bullet"/>
      <w:lvlText w:val="-"/>
      <w:lvlJc w:val="left"/>
      <w:pPr>
        <w:ind w:left="177" w:hanging="107"/>
      </w:pPr>
      <w:rPr>
        <w:rFonts w:ascii="Arial" w:eastAsia="Arial" w:hAnsi="Arial" w:cs="Arial" w:hint="default"/>
        <w:w w:val="99"/>
        <w:sz w:val="17"/>
        <w:szCs w:val="17"/>
        <w:lang w:val="pl-PL" w:eastAsia="en-US" w:bidi="ar-SA"/>
      </w:rPr>
    </w:lvl>
    <w:lvl w:ilvl="1" w:tplc="B6DA442C">
      <w:numFmt w:val="bullet"/>
      <w:lvlText w:val="•"/>
      <w:lvlJc w:val="left"/>
      <w:pPr>
        <w:ind w:left="611" w:hanging="107"/>
      </w:pPr>
      <w:rPr>
        <w:rFonts w:hint="default"/>
        <w:lang w:val="pl-PL" w:eastAsia="en-US" w:bidi="ar-SA"/>
      </w:rPr>
    </w:lvl>
    <w:lvl w:ilvl="2" w:tplc="CB7830EE">
      <w:numFmt w:val="bullet"/>
      <w:lvlText w:val="•"/>
      <w:lvlJc w:val="left"/>
      <w:pPr>
        <w:ind w:left="1042" w:hanging="107"/>
      </w:pPr>
      <w:rPr>
        <w:rFonts w:hint="default"/>
        <w:lang w:val="pl-PL" w:eastAsia="en-US" w:bidi="ar-SA"/>
      </w:rPr>
    </w:lvl>
    <w:lvl w:ilvl="3" w:tplc="8B8ABBA6">
      <w:numFmt w:val="bullet"/>
      <w:lvlText w:val="•"/>
      <w:lvlJc w:val="left"/>
      <w:pPr>
        <w:ind w:left="1473" w:hanging="107"/>
      </w:pPr>
      <w:rPr>
        <w:rFonts w:hint="default"/>
        <w:lang w:val="pl-PL" w:eastAsia="en-US" w:bidi="ar-SA"/>
      </w:rPr>
    </w:lvl>
    <w:lvl w:ilvl="4" w:tplc="889A1780">
      <w:numFmt w:val="bullet"/>
      <w:lvlText w:val="•"/>
      <w:lvlJc w:val="left"/>
      <w:pPr>
        <w:ind w:left="1904" w:hanging="107"/>
      </w:pPr>
      <w:rPr>
        <w:rFonts w:hint="default"/>
        <w:lang w:val="pl-PL" w:eastAsia="en-US" w:bidi="ar-SA"/>
      </w:rPr>
    </w:lvl>
    <w:lvl w:ilvl="5" w:tplc="1166D252">
      <w:numFmt w:val="bullet"/>
      <w:lvlText w:val="•"/>
      <w:lvlJc w:val="left"/>
      <w:pPr>
        <w:ind w:left="2335" w:hanging="107"/>
      </w:pPr>
      <w:rPr>
        <w:rFonts w:hint="default"/>
        <w:lang w:val="pl-PL" w:eastAsia="en-US" w:bidi="ar-SA"/>
      </w:rPr>
    </w:lvl>
    <w:lvl w:ilvl="6" w:tplc="4CF236D0">
      <w:numFmt w:val="bullet"/>
      <w:lvlText w:val="•"/>
      <w:lvlJc w:val="left"/>
      <w:pPr>
        <w:ind w:left="2766" w:hanging="107"/>
      </w:pPr>
      <w:rPr>
        <w:rFonts w:hint="default"/>
        <w:lang w:val="pl-PL" w:eastAsia="en-US" w:bidi="ar-SA"/>
      </w:rPr>
    </w:lvl>
    <w:lvl w:ilvl="7" w:tplc="5A14289E">
      <w:numFmt w:val="bullet"/>
      <w:lvlText w:val="•"/>
      <w:lvlJc w:val="left"/>
      <w:pPr>
        <w:ind w:left="3197" w:hanging="107"/>
      </w:pPr>
      <w:rPr>
        <w:rFonts w:hint="default"/>
        <w:lang w:val="pl-PL" w:eastAsia="en-US" w:bidi="ar-SA"/>
      </w:rPr>
    </w:lvl>
    <w:lvl w:ilvl="8" w:tplc="AAE0F6BC">
      <w:numFmt w:val="bullet"/>
      <w:lvlText w:val="•"/>
      <w:lvlJc w:val="left"/>
      <w:pPr>
        <w:ind w:left="3628" w:hanging="107"/>
      </w:pPr>
      <w:rPr>
        <w:rFonts w:hint="default"/>
        <w:lang w:val="pl-PL" w:eastAsia="en-US" w:bidi="ar-SA"/>
      </w:rPr>
    </w:lvl>
  </w:abstractNum>
  <w:abstractNum w:abstractNumId="11">
    <w:nsid w:val="4A3F152B"/>
    <w:multiLevelType w:val="hybridMultilevel"/>
    <w:tmpl w:val="7CB223D2"/>
    <w:lvl w:ilvl="0" w:tplc="A07C2878">
      <w:numFmt w:val="bullet"/>
      <w:lvlText w:val="-"/>
      <w:lvlJc w:val="left"/>
      <w:pPr>
        <w:ind w:left="106" w:hanging="104"/>
      </w:pPr>
      <w:rPr>
        <w:rFonts w:ascii="Arial" w:eastAsia="Arial" w:hAnsi="Arial" w:cs="Arial" w:hint="default"/>
        <w:w w:val="99"/>
        <w:sz w:val="17"/>
        <w:szCs w:val="17"/>
        <w:lang w:val="pl-PL" w:eastAsia="en-US" w:bidi="ar-SA"/>
      </w:rPr>
    </w:lvl>
    <w:lvl w:ilvl="1" w:tplc="C77C8690">
      <w:numFmt w:val="bullet"/>
      <w:lvlText w:val="•"/>
      <w:lvlJc w:val="left"/>
      <w:pPr>
        <w:ind w:left="538" w:hanging="104"/>
      </w:pPr>
      <w:rPr>
        <w:rFonts w:hint="default"/>
        <w:lang w:val="pl-PL" w:eastAsia="en-US" w:bidi="ar-SA"/>
      </w:rPr>
    </w:lvl>
    <w:lvl w:ilvl="2" w:tplc="B7E095FC">
      <w:numFmt w:val="bullet"/>
      <w:lvlText w:val="•"/>
      <w:lvlJc w:val="left"/>
      <w:pPr>
        <w:ind w:left="977" w:hanging="104"/>
      </w:pPr>
      <w:rPr>
        <w:rFonts w:hint="default"/>
        <w:lang w:val="pl-PL" w:eastAsia="en-US" w:bidi="ar-SA"/>
      </w:rPr>
    </w:lvl>
    <w:lvl w:ilvl="3" w:tplc="8228C494">
      <w:numFmt w:val="bullet"/>
      <w:lvlText w:val="•"/>
      <w:lvlJc w:val="left"/>
      <w:pPr>
        <w:ind w:left="1416" w:hanging="104"/>
      </w:pPr>
      <w:rPr>
        <w:rFonts w:hint="default"/>
        <w:lang w:val="pl-PL" w:eastAsia="en-US" w:bidi="ar-SA"/>
      </w:rPr>
    </w:lvl>
    <w:lvl w:ilvl="4" w:tplc="12083B22">
      <w:numFmt w:val="bullet"/>
      <w:lvlText w:val="•"/>
      <w:lvlJc w:val="left"/>
      <w:pPr>
        <w:ind w:left="1855" w:hanging="104"/>
      </w:pPr>
      <w:rPr>
        <w:rFonts w:hint="default"/>
        <w:lang w:val="pl-PL" w:eastAsia="en-US" w:bidi="ar-SA"/>
      </w:rPr>
    </w:lvl>
    <w:lvl w:ilvl="5" w:tplc="086083F0">
      <w:numFmt w:val="bullet"/>
      <w:lvlText w:val="•"/>
      <w:lvlJc w:val="left"/>
      <w:pPr>
        <w:ind w:left="2294" w:hanging="104"/>
      </w:pPr>
      <w:rPr>
        <w:rFonts w:hint="default"/>
        <w:lang w:val="pl-PL" w:eastAsia="en-US" w:bidi="ar-SA"/>
      </w:rPr>
    </w:lvl>
    <w:lvl w:ilvl="6" w:tplc="2DDCA0C6">
      <w:numFmt w:val="bullet"/>
      <w:lvlText w:val="•"/>
      <w:lvlJc w:val="left"/>
      <w:pPr>
        <w:ind w:left="2733" w:hanging="104"/>
      </w:pPr>
      <w:rPr>
        <w:rFonts w:hint="default"/>
        <w:lang w:val="pl-PL" w:eastAsia="en-US" w:bidi="ar-SA"/>
      </w:rPr>
    </w:lvl>
    <w:lvl w:ilvl="7" w:tplc="77B27106">
      <w:numFmt w:val="bullet"/>
      <w:lvlText w:val="•"/>
      <w:lvlJc w:val="left"/>
      <w:pPr>
        <w:ind w:left="3172" w:hanging="104"/>
      </w:pPr>
      <w:rPr>
        <w:rFonts w:hint="default"/>
        <w:lang w:val="pl-PL" w:eastAsia="en-US" w:bidi="ar-SA"/>
      </w:rPr>
    </w:lvl>
    <w:lvl w:ilvl="8" w:tplc="8174E444">
      <w:numFmt w:val="bullet"/>
      <w:lvlText w:val="•"/>
      <w:lvlJc w:val="left"/>
      <w:pPr>
        <w:ind w:left="3611" w:hanging="104"/>
      </w:pPr>
      <w:rPr>
        <w:rFonts w:hint="default"/>
        <w:lang w:val="pl-PL" w:eastAsia="en-US" w:bidi="ar-SA"/>
      </w:rPr>
    </w:lvl>
  </w:abstractNum>
  <w:abstractNum w:abstractNumId="12">
    <w:nsid w:val="4C396ACD"/>
    <w:multiLevelType w:val="hybridMultilevel"/>
    <w:tmpl w:val="118219CA"/>
    <w:lvl w:ilvl="0" w:tplc="DB109524">
      <w:numFmt w:val="bullet"/>
      <w:lvlText w:val="-"/>
      <w:lvlJc w:val="left"/>
      <w:pPr>
        <w:ind w:left="392" w:hanging="133"/>
      </w:pPr>
      <w:rPr>
        <w:rFonts w:ascii="Arial" w:eastAsia="Arial" w:hAnsi="Arial" w:cs="Arial" w:hint="default"/>
        <w:w w:val="99"/>
        <w:sz w:val="17"/>
        <w:szCs w:val="17"/>
        <w:lang w:val="pl-PL" w:eastAsia="en-US" w:bidi="ar-SA"/>
      </w:rPr>
    </w:lvl>
    <w:lvl w:ilvl="1" w:tplc="2F0402E4">
      <w:numFmt w:val="bullet"/>
      <w:lvlText w:val="•"/>
      <w:lvlJc w:val="left"/>
      <w:pPr>
        <w:ind w:left="1290" w:hanging="133"/>
      </w:pPr>
      <w:rPr>
        <w:rFonts w:hint="default"/>
        <w:lang w:val="pl-PL" w:eastAsia="en-US" w:bidi="ar-SA"/>
      </w:rPr>
    </w:lvl>
    <w:lvl w:ilvl="2" w:tplc="52F4AA48">
      <w:numFmt w:val="bullet"/>
      <w:lvlText w:val="•"/>
      <w:lvlJc w:val="left"/>
      <w:pPr>
        <w:ind w:left="2180" w:hanging="133"/>
      </w:pPr>
      <w:rPr>
        <w:rFonts w:hint="default"/>
        <w:lang w:val="pl-PL" w:eastAsia="en-US" w:bidi="ar-SA"/>
      </w:rPr>
    </w:lvl>
    <w:lvl w:ilvl="3" w:tplc="094AB124">
      <w:numFmt w:val="bullet"/>
      <w:lvlText w:val="•"/>
      <w:lvlJc w:val="left"/>
      <w:pPr>
        <w:ind w:left="3070" w:hanging="133"/>
      </w:pPr>
      <w:rPr>
        <w:rFonts w:hint="default"/>
        <w:lang w:val="pl-PL" w:eastAsia="en-US" w:bidi="ar-SA"/>
      </w:rPr>
    </w:lvl>
    <w:lvl w:ilvl="4" w:tplc="462A4412">
      <w:numFmt w:val="bullet"/>
      <w:lvlText w:val="•"/>
      <w:lvlJc w:val="left"/>
      <w:pPr>
        <w:ind w:left="3960" w:hanging="133"/>
      </w:pPr>
      <w:rPr>
        <w:rFonts w:hint="default"/>
        <w:lang w:val="pl-PL" w:eastAsia="en-US" w:bidi="ar-SA"/>
      </w:rPr>
    </w:lvl>
    <w:lvl w:ilvl="5" w:tplc="E81642CC">
      <w:numFmt w:val="bullet"/>
      <w:lvlText w:val="•"/>
      <w:lvlJc w:val="left"/>
      <w:pPr>
        <w:ind w:left="4850" w:hanging="133"/>
      </w:pPr>
      <w:rPr>
        <w:rFonts w:hint="default"/>
        <w:lang w:val="pl-PL" w:eastAsia="en-US" w:bidi="ar-SA"/>
      </w:rPr>
    </w:lvl>
    <w:lvl w:ilvl="6" w:tplc="F8BCD15C">
      <w:numFmt w:val="bullet"/>
      <w:lvlText w:val="•"/>
      <w:lvlJc w:val="left"/>
      <w:pPr>
        <w:ind w:left="5740" w:hanging="133"/>
      </w:pPr>
      <w:rPr>
        <w:rFonts w:hint="default"/>
        <w:lang w:val="pl-PL" w:eastAsia="en-US" w:bidi="ar-SA"/>
      </w:rPr>
    </w:lvl>
    <w:lvl w:ilvl="7" w:tplc="5AA03EE0">
      <w:numFmt w:val="bullet"/>
      <w:lvlText w:val="•"/>
      <w:lvlJc w:val="left"/>
      <w:pPr>
        <w:ind w:left="6630" w:hanging="133"/>
      </w:pPr>
      <w:rPr>
        <w:rFonts w:hint="default"/>
        <w:lang w:val="pl-PL" w:eastAsia="en-US" w:bidi="ar-SA"/>
      </w:rPr>
    </w:lvl>
    <w:lvl w:ilvl="8" w:tplc="A012461E">
      <w:numFmt w:val="bullet"/>
      <w:lvlText w:val="•"/>
      <w:lvlJc w:val="left"/>
      <w:pPr>
        <w:ind w:left="7520" w:hanging="133"/>
      </w:pPr>
      <w:rPr>
        <w:rFonts w:hint="default"/>
        <w:lang w:val="pl-PL" w:eastAsia="en-US" w:bidi="ar-SA"/>
      </w:rPr>
    </w:lvl>
  </w:abstractNum>
  <w:abstractNum w:abstractNumId="13">
    <w:nsid w:val="528A4DB4"/>
    <w:multiLevelType w:val="hybridMultilevel"/>
    <w:tmpl w:val="923A677C"/>
    <w:lvl w:ilvl="0" w:tplc="848A1B76">
      <w:numFmt w:val="bullet"/>
      <w:lvlText w:val="-"/>
      <w:lvlJc w:val="left"/>
      <w:pPr>
        <w:ind w:left="173" w:hanging="104"/>
      </w:pPr>
      <w:rPr>
        <w:rFonts w:ascii="Arial" w:eastAsia="Arial" w:hAnsi="Arial" w:cs="Arial" w:hint="default"/>
        <w:w w:val="99"/>
        <w:sz w:val="17"/>
        <w:szCs w:val="17"/>
        <w:lang w:val="pl-PL" w:eastAsia="en-US" w:bidi="ar-SA"/>
      </w:rPr>
    </w:lvl>
    <w:lvl w:ilvl="1" w:tplc="E11CA470">
      <w:numFmt w:val="bullet"/>
      <w:lvlText w:val="•"/>
      <w:lvlJc w:val="left"/>
      <w:pPr>
        <w:ind w:left="610" w:hanging="104"/>
      </w:pPr>
      <w:rPr>
        <w:rFonts w:hint="default"/>
        <w:lang w:val="pl-PL" w:eastAsia="en-US" w:bidi="ar-SA"/>
      </w:rPr>
    </w:lvl>
    <w:lvl w:ilvl="2" w:tplc="D22C7130">
      <w:numFmt w:val="bullet"/>
      <w:lvlText w:val="•"/>
      <w:lvlJc w:val="left"/>
      <w:pPr>
        <w:ind w:left="1041" w:hanging="104"/>
      </w:pPr>
      <w:rPr>
        <w:rFonts w:hint="default"/>
        <w:lang w:val="pl-PL" w:eastAsia="en-US" w:bidi="ar-SA"/>
      </w:rPr>
    </w:lvl>
    <w:lvl w:ilvl="3" w:tplc="C9925D3A">
      <w:numFmt w:val="bullet"/>
      <w:lvlText w:val="•"/>
      <w:lvlJc w:val="left"/>
      <w:pPr>
        <w:ind w:left="1472" w:hanging="104"/>
      </w:pPr>
      <w:rPr>
        <w:rFonts w:hint="default"/>
        <w:lang w:val="pl-PL" w:eastAsia="en-US" w:bidi="ar-SA"/>
      </w:rPr>
    </w:lvl>
    <w:lvl w:ilvl="4" w:tplc="E33CFD24">
      <w:numFmt w:val="bullet"/>
      <w:lvlText w:val="•"/>
      <w:lvlJc w:val="left"/>
      <w:pPr>
        <w:ind w:left="1903" w:hanging="104"/>
      </w:pPr>
      <w:rPr>
        <w:rFonts w:hint="default"/>
        <w:lang w:val="pl-PL" w:eastAsia="en-US" w:bidi="ar-SA"/>
      </w:rPr>
    </w:lvl>
    <w:lvl w:ilvl="5" w:tplc="0352D63A">
      <w:numFmt w:val="bullet"/>
      <w:lvlText w:val="•"/>
      <w:lvlJc w:val="left"/>
      <w:pPr>
        <w:ind w:left="2334" w:hanging="104"/>
      </w:pPr>
      <w:rPr>
        <w:rFonts w:hint="default"/>
        <w:lang w:val="pl-PL" w:eastAsia="en-US" w:bidi="ar-SA"/>
      </w:rPr>
    </w:lvl>
    <w:lvl w:ilvl="6" w:tplc="E5A6BBE2">
      <w:numFmt w:val="bullet"/>
      <w:lvlText w:val="•"/>
      <w:lvlJc w:val="left"/>
      <w:pPr>
        <w:ind w:left="2765" w:hanging="104"/>
      </w:pPr>
      <w:rPr>
        <w:rFonts w:hint="default"/>
        <w:lang w:val="pl-PL" w:eastAsia="en-US" w:bidi="ar-SA"/>
      </w:rPr>
    </w:lvl>
    <w:lvl w:ilvl="7" w:tplc="51B60E44">
      <w:numFmt w:val="bullet"/>
      <w:lvlText w:val="•"/>
      <w:lvlJc w:val="left"/>
      <w:pPr>
        <w:ind w:left="3196" w:hanging="104"/>
      </w:pPr>
      <w:rPr>
        <w:rFonts w:hint="default"/>
        <w:lang w:val="pl-PL" w:eastAsia="en-US" w:bidi="ar-SA"/>
      </w:rPr>
    </w:lvl>
    <w:lvl w:ilvl="8" w:tplc="902C74F4">
      <w:numFmt w:val="bullet"/>
      <w:lvlText w:val="•"/>
      <w:lvlJc w:val="left"/>
      <w:pPr>
        <w:ind w:left="3627" w:hanging="104"/>
      </w:pPr>
      <w:rPr>
        <w:rFonts w:hint="default"/>
        <w:lang w:val="pl-PL" w:eastAsia="en-US" w:bidi="ar-SA"/>
      </w:rPr>
    </w:lvl>
  </w:abstractNum>
  <w:abstractNum w:abstractNumId="14">
    <w:nsid w:val="53AC29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5ED2BF9"/>
    <w:multiLevelType w:val="hybridMultilevel"/>
    <w:tmpl w:val="74B4B4D4"/>
    <w:lvl w:ilvl="0" w:tplc="9D101B56">
      <w:numFmt w:val="bullet"/>
      <w:lvlText w:val="-"/>
      <w:lvlJc w:val="left"/>
      <w:pPr>
        <w:ind w:left="107" w:hanging="104"/>
      </w:pPr>
      <w:rPr>
        <w:rFonts w:ascii="Arial" w:eastAsia="Arial" w:hAnsi="Arial" w:cs="Arial" w:hint="default"/>
        <w:w w:val="99"/>
        <w:sz w:val="17"/>
        <w:szCs w:val="17"/>
        <w:lang w:val="pl-PL" w:eastAsia="en-US" w:bidi="ar-SA"/>
      </w:rPr>
    </w:lvl>
    <w:lvl w:ilvl="1" w:tplc="1ABE74E6">
      <w:numFmt w:val="bullet"/>
      <w:lvlText w:val="•"/>
      <w:lvlJc w:val="left"/>
      <w:pPr>
        <w:ind w:left="539" w:hanging="104"/>
      </w:pPr>
      <w:rPr>
        <w:rFonts w:hint="default"/>
        <w:lang w:val="pl-PL" w:eastAsia="en-US" w:bidi="ar-SA"/>
      </w:rPr>
    </w:lvl>
    <w:lvl w:ilvl="2" w:tplc="2E4A373E">
      <w:numFmt w:val="bullet"/>
      <w:lvlText w:val="•"/>
      <w:lvlJc w:val="left"/>
      <w:pPr>
        <w:ind w:left="978" w:hanging="104"/>
      </w:pPr>
      <w:rPr>
        <w:rFonts w:hint="default"/>
        <w:lang w:val="pl-PL" w:eastAsia="en-US" w:bidi="ar-SA"/>
      </w:rPr>
    </w:lvl>
    <w:lvl w:ilvl="3" w:tplc="C3681AF8">
      <w:numFmt w:val="bullet"/>
      <w:lvlText w:val="•"/>
      <w:lvlJc w:val="left"/>
      <w:pPr>
        <w:ind w:left="1417" w:hanging="104"/>
      </w:pPr>
      <w:rPr>
        <w:rFonts w:hint="default"/>
        <w:lang w:val="pl-PL" w:eastAsia="en-US" w:bidi="ar-SA"/>
      </w:rPr>
    </w:lvl>
    <w:lvl w:ilvl="4" w:tplc="12C0A382">
      <w:numFmt w:val="bullet"/>
      <w:lvlText w:val="•"/>
      <w:lvlJc w:val="left"/>
      <w:pPr>
        <w:ind w:left="1856" w:hanging="104"/>
      </w:pPr>
      <w:rPr>
        <w:rFonts w:hint="default"/>
        <w:lang w:val="pl-PL" w:eastAsia="en-US" w:bidi="ar-SA"/>
      </w:rPr>
    </w:lvl>
    <w:lvl w:ilvl="5" w:tplc="4230AB6C">
      <w:numFmt w:val="bullet"/>
      <w:lvlText w:val="•"/>
      <w:lvlJc w:val="left"/>
      <w:pPr>
        <w:ind w:left="2295" w:hanging="104"/>
      </w:pPr>
      <w:rPr>
        <w:rFonts w:hint="default"/>
        <w:lang w:val="pl-PL" w:eastAsia="en-US" w:bidi="ar-SA"/>
      </w:rPr>
    </w:lvl>
    <w:lvl w:ilvl="6" w:tplc="F1DADA92">
      <w:numFmt w:val="bullet"/>
      <w:lvlText w:val="•"/>
      <w:lvlJc w:val="left"/>
      <w:pPr>
        <w:ind w:left="2734" w:hanging="104"/>
      </w:pPr>
      <w:rPr>
        <w:rFonts w:hint="default"/>
        <w:lang w:val="pl-PL" w:eastAsia="en-US" w:bidi="ar-SA"/>
      </w:rPr>
    </w:lvl>
    <w:lvl w:ilvl="7" w:tplc="D3342980">
      <w:numFmt w:val="bullet"/>
      <w:lvlText w:val="•"/>
      <w:lvlJc w:val="left"/>
      <w:pPr>
        <w:ind w:left="3173" w:hanging="104"/>
      </w:pPr>
      <w:rPr>
        <w:rFonts w:hint="default"/>
        <w:lang w:val="pl-PL" w:eastAsia="en-US" w:bidi="ar-SA"/>
      </w:rPr>
    </w:lvl>
    <w:lvl w:ilvl="8" w:tplc="A2A0800C">
      <w:numFmt w:val="bullet"/>
      <w:lvlText w:val="•"/>
      <w:lvlJc w:val="left"/>
      <w:pPr>
        <w:ind w:left="3612" w:hanging="104"/>
      </w:pPr>
      <w:rPr>
        <w:rFonts w:hint="default"/>
        <w:lang w:val="pl-PL" w:eastAsia="en-US" w:bidi="ar-SA"/>
      </w:rPr>
    </w:lvl>
  </w:abstractNum>
  <w:abstractNum w:abstractNumId="16">
    <w:nsid w:val="590A21CA"/>
    <w:multiLevelType w:val="hybridMultilevel"/>
    <w:tmpl w:val="E4729926"/>
    <w:lvl w:ilvl="0" w:tplc="C9F8A70C">
      <w:numFmt w:val="bullet"/>
      <w:lvlText w:val="-"/>
      <w:lvlJc w:val="left"/>
      <w:pPr>
        <w:ind w:left="107" w:hanging="104"/>
      </w:pPr>
      <w:rPr>
        <w:rFonts w:ascii="Arial" w:eastAsia="Arial" w:hAnsi="Arial" w:cs="Arial" w:hint="default"/>
        <w:w w:val="99"/>
        <w:sz w:val="17"/>
        <w:szCs w:val="17"/>
        <w:lang w:val="pl-PL" w:eastAsia="en-US" w:bidi="ar-SA"/>
      </w:rPr>
    </w:lvl>
    <w:lvl w:ilvl="1" w:tplc="19E8532E">
      <w:numFmt w:val="bullet"/>
      <w:lvlText w:val="•"/>
      <w:lvlJc w:val="left"/>
      <w:pPr>
        <w:ind w:left="539" w:hanging="104"/>
      </w:pPr>
      <w:rPr>
        <w:rFonts w:hint="default"/>
        <w:lang w:val="pl-PL" w:eastAsia="en-US" w:bidi="ar-SA"/>
      </w:rPr>
    </w:lvl>
    <w:lvl w:ilvl="2" w:tplc="7EEEED90">
      <w:numFmt w:val="bullet"/>
      <w:lvlText w:val="•"/>
      <w:lvlJc w:val="left"/>
      <w:pPr>
        <w:ind w:left="978" w:hanging="104"/>
      </w:pPr>
      <w:rPr>
        <w:rFonts w:hint="default"/>
        <w:lang w:val="pl-PL" w:eastAsia="en-US" w:bidi="ar-SA"/>
      </w:rPr>
    </w:lvl>
    <w:lvl w:ilvl="3" w:tplc="5AA6FEE2">
      <w:numFmt w:val="bullet"/>
      <w:lvlText w:val="•"/>
      <w:lvlJc w:val="left"/>
      <w:pPr>
        <w:ind w:left="1417" w:hanging="104"/>
      </w:pPr>
      <w:rPr>
        <w:rFonts w:hint="default"/>
        <w:lang w:val="pl-PL" w:eastAsia="en-US" w:bidi="ar-SA"/>
      </w:rPr>
    </w:lvl>
    <w:lvl w:ilvl="4" w:tplc="A6B26C5A">
      <w:numFmt w:val="bullet"/>
      <w:lvlText w:val="•"/>
      <w:lvlJc w:val="left"/>
      <w:pPr>
        <w:ind w:left="1856" w:hanging="104"/>
      </w:pPr>
      <w:rPr>
        <w:rFonts w:hint="default"/>
        <w:lang w:val="pl-PL" w:eastAsia="en-US" w:bidi="ar-SA"/>
      </w:rPr>
    </w:lvl>
    <w:lvl w:ilvl="5" w:tplc="35EE627E">
      <w:numFmt w:val="bullet"/>
      <w:lvlText w:val="•"/>
      <w:lvlJc w:val="left"/>
      <w:pPr>
        <w:ind w:left="2295" w:hanging="104"/>
      </w:pPr>
      <w:rPr>
        <w:rFonts w:hint="default"/>
        <w:lang w:val="pl-PL" w:eastAsia="en-US" w:bidi="ar-SA"/>
      </w:rPr>
    </w:lvl>
    <w:lvl w:ilvl="6" w:tplc="DF1E3296">
      <w:numFmt w:val="bullet"/>
      <w:lvlText w:val="•"/>
      <w:lvlJc w:val="left"/>
      <w:pPr>
        <w:ind w:left="2734" w:hanging="104"/>
      </w:pPr>
      <w:rPr>
        <w:rFonts w:hint="default"/>
        <w:lang w:val="pl-PL" w:eastAsia="en-US" w:bidi="ar-SA"/>
      </w:rPr>
    </w:lvl>
    <w:lvl w:ilvl="7" w:tplc="26A4D5CE">
      <w:numFmt w:val="bullet"/>
      <w:lvlText w:val="•"/>
      <w:lvlJc w:val="left"/>
      <w:pPr>
        <w:ind w:left="3173" w:hanging="104"/>
      </w:pPr>
      <w:rPr>
        <w:rFonts w:hint="default"/>
        <w:lang w:val="pl-PL" w:eastAsia="en-US" w:bidi="ar-SA"/>
      </w:rPr>
    </w:lvl>
    <w:lvl w:ilvl="8" w:tplc="DF8E06B8">
      <w:numFmt w:val="bullet"/>
      <w:lvlText w:val="•"/>
      <w:lvlJc w:val="left"/>
      <w:pPr>
        <w:ind w:left="3612" w:hanging="104"/>
      </w:pPr>
      <w:rPr>
        <w:rFonts w:hint="default"/>
        <w:lang w:val="pl-PL" w:eastAsia="en-US" w:bidi="ar-SA"/>
      </w:rPr>
    </w:lvl>
  </w:abstractNum>
  <w:abstractNum w:abstractNumId="17">
    <w:nsid w:val="5DD86FB5"/>
    <w:multiLevelType w:val="hybridMultilevel"/>
    <w:tmpl w:val="95346A00"/>
    <w:lvl w:ilvl="0" w:tplc="0CA8CF62">
      <w:numFmt w:val="bullet"/>
      <w:lvlText w:val="-"/>
      <w:lvlJc w:val="left"/>
      <w:pPr>
        <w:ind w:left="764" w:hanging="373"/>
      </w:pPr>
      <w:rPr>
        <w:rFonts w:ascii="Arial" w:eastAsia="Arial" w:hAnsi="Arial" w:cs="Arial" w:hint="default"/>
        <w:w w:val="99"/>
        <w:sz w:val="17"/>
        <w:szCs w:val="17"/>
        <w:lang w:val="pl-PL" w:eastAsia="en-US" w:bidi="ar-SA"/>
      </w:rPr>
    </w:lvl>
    <w:lvl w:ilvl="1" w:tplc="8604BD7E">
      <w:numFmt w:val="bullet"/>
      <w:lvlText w:val="-"/>
      <w:lvlJc w:val="left"/>
      <w:pPr>
        <w:ind w:left="1139" w:hanging="305"/>
      </w:pPr>
      <w:rPr>
        <w:rFonts w:ascii="Arial" w:eastAsia="Arial" w:hAnsi="Arial" w:cs="Arial" w:hint="default"/>
        <w:w w:val="99"/>
        <w:sz w:val="17"/>
        <w:szCs w:val="17"/>
        <w:lang w:val="pl-PL" w:eastAsia="en-US" w:bidi="ar-SA"/>
      </w:rPr>
    </w:lvl>
    <w:lvl w:ilvl="2" w:tplc="2E0AC0FE">
      <w:numFmt w:val="bullet"/>
      <w:lvlText w:val="•"/>
      <w:lvlJc w:val="left"/>
      <w:pPr>
        <w:ind w:left="2046" w:hanging="305"/>
      </w:pPr>
      <w:rPr>
        <w:rFonts w:hint="default"/>
        <w:lang w:val="pl-PL" w:eastAsia="en-US" w:bidi="ar-SA"/>
      </w:rPr>
    </w:lvl>
    <w:lvl w:ilvl="3" w:tplc="787A3D7C">
      <w:numFmt w:val="bullet"/>
      <w:lvlText w:val="•"/>
      <w:lvlJc w:val="left"/>
      <w:pPr>
        <w:ind w:left="2953" w:hanging="305"/>
      </w:pPr>
      <w:rPr>
        <w:rFonts w:hint="default"/>
        <w:lang w:val="pl-PL" w:eastAsia="en-US" w:bidi="ar-SA"/>
      </w:rPr>
    </w:lvl>
    <w:lvl w:ilvl="4" w:tplc="167ABEB2">
      <w:numFmt w:val="bullet"/>
      <w:lvlText w:val="•"/>
      <w:lvlJc w:val="left"/>
      <w:pPr>
        <w:ind w:left="3860" w:hanging="305"/>
      </w:pPr>
      <w:rPr>
        <w:rFonts w:hint="default"/>
        <w:lang w:val="pl-PL" w:eastAsia="en-US" w:bidi="ar-SA"/>
      </w:rPr>
    </w:lvl>
    <w:lvl w:ilvl="5" w:tplc="6CFC70BC">
      <w:numFmt w:val="bullet"/>
      <w:lvlText w:val="•"/>
      <w:lvlJc w:val="left"/>
      <w:pPr>
        <w:ind w:left="4766" w:hanging="305"/>
      </w:pPr>
      <w:rPr>
        <w:rFonts w:hint="default"/>
        <w:lang w:val="pl-PL" w:eastAsia="en-US" w:bidi="ar-SA"/>
      </w:rPr>
    </w:lvl>
    <w:lvl w:ilvl="6" w:tplc="5882E93C">
      <w:numFmt w:val="bullet"/>
      <w:lvlText w:val="•"/>
      <w:lvlJc w:val="left"/>
      <w:pPr>
        <w:ind w:left="5673" w:hanging="305"/>
      </w:pPr>
      <w:rPr>
        <w:rFonts w:hint="default"/>
        <w:lang w:val="pl-PL" w:eastAsia="en-US" w:bidi="ar-SA"/>
      </w:rPr>
    </w:lvl>
    <w:lvl w:ilvl="7" w:tplc="365AA6A0">
      <w:numFmt w:val="bullet"/>
      <w:lvlText w:val="•"/>
      <w:lvlJc w:val="left"/>
      <w:pPr>
        <w:ind w:left="6580" w:hanging="305"/>
      </w:pPr>
      <w:rPr>
        <w:rFonts w:hint="default"/>
        <w:lang w:val="pl-PL" w:eastAsia="en-US" w:bidi="ar-SA"/>
      </w:rPr>
    </w:lvl>
    <w:lvl w:ilvl="8" w:tplc="DA5CB834">
      <w:numFmt w:val="bullet"/>
      <w:lvlText w:val="•"/>
      <w:lvlJc w:val="left"/>
      <w:pPr>
        <w:ind w:left="7486" w:hanging="305"/>
      </w:pPr>
      <w:rPr>
        <w:rFonts w:hint="default"/>
        <w:lang w:val="pl-PL" w:eastAsia="en-US" w:bidi="ar-SA"/>
      </w:rPr>
    </w:lvl>
  </w:abstractNum>
  <w:abstractNum w:abstractNumId="18">
    <w:nsid w:val="5E5955D0"/>
    <w:multiLevelType w:val="hybridMultilevel"/>
    <w:tmpl w:val="B80642C6"/>
    <w:lvl w:ilvl="0" w:tplc="301AD9EC">
      <w:numFmt w:val="bullet"/>
      <w:lvlText w:val="-"/>
      <w:lvlJc w:val="left"/>
      <w:pPr>
        <w:ind w:left="392" w:hanging="106"/>
      </w:pPr>
      <w:rPr>
        <w:rFonts w:ascii="Arial" w:eastAsia="Arial" w:hAnsi="Arial" w:cs="Arial" w:hint="default"/>
        <w:w w:val="99"/>
        <w:sz w:val="17"/>
        <w:szCs w:val="17"/>
        <w:lang w:val="pl-PL" w:eastAsia="en-US" w:bidi="ar-SA"/>
      </w:rPr>
    </w:lvl>
    <w:lvl w:ilvl="1" w:tplc="AEF6944A">
      <w:numFmt w:val="bullet"/>
      <w:lvlText w:val="•"/>
      <w:lvlJc w:val="left"/>
      <w:pPr>
        <w:ind w:left="1290" w:hanging="106"/>
      </w:pPr>
      <w:rPr>
        <w:rFonts w:hint="default"/>
        <w:lang w:val="pl-PL" w:eastAsia="en-US" w:bidi="ar-SA"/>
      </w:rPr>
    </w:lvl>
    <w:lvl w:ilvl="2" w:tplc="428C48F0">
      <w:numFmt w:val="bullet"/>
      <w:lvlText w:val="•"/>
      <w:lvlJc w:val="left"/>
      <w:pPr>
        <w:ind w:left="2180" w:hanging="106"/>
      </w:pPr>
      <w:rPr>
        <w:rFonts w:hint="default"/>
        <w:lang w:val="pl-PL" w:eastAsia="en-US" w:bidi="ar-SA"/>
      </w:rPr>
    </w:lvl>
    <w:lvl w:ilvl="3" w:tplc="8340D26C">
      <w:numFmt w:val="bullet"/>
      <w:lvlText w:val="•"/>
      <w:lvlJc w:val="left"/>
      <w:pPr>
        <w:ind w:left="3070" w:hanging="106"/>
      </w:pPr>
      <w:rPr>
        <w:rFonts w:hint="default"/>
        <w:lang w:val="pl-PL" w:eastAsia="en-US" w:bidi="ar-SA"/>
      </w:rPr>
    </w:lvl>
    <w:lvl w:ilvl="4" w:tplc="0DCC8FC6">
      <w:numFmt w:val="bullet"/>
      <w:lvlText w:val="•"/>
      <w:lvlJc w:val="left"/>
      <w:pPr>
        <w:ind w:left="3960" w:hanging="106"/>
      </w:pPr>
      <w:rPr>
        <w:rFonts w:hint="default"/>
        <w:lang w:val="pl-PL" w:eastAsia="en-US" w:bidi="ar-SA"/>
      </w:rPr>
    </w:lvl>
    <w:lvl w:ilvl="5" w:tplc="2D52F562">
      <w:numFmt w:val="bullet"/>
      <w:lvlText w:val="•"/>
      <w:lvlJc w:val="left"/>
      <w:pPr>
        <w:ind w:left="4850" w:hanging="106"/>
      </w:pPr>
      <w:rPr>
        <w:rFonts w:hint="default"/>
        <w:lang w:val="pl-PL" w:eastAsia="en-US" w:bidi="ar-SA"/>
      </w:rPr>
    </w:lvl>
    <w:lvl w:ilvl="6" w:tplc="3CEA4A3C">
      <w:numFmt w:val="bullet"/>
      <w:lvlText w:val="•"/>
      <w:lvlJc w:val="left"/>
      <w:pPr>
        <w:ind w:left="5740" w:hanging="106"/>
      </w:pPr>
      <w:rPr>
        <w:rFonts w:hint="default"/>
        <w:lang w:val="pl-PL" w:eastAsia="en-US" w:bidi="ar-SA"/>
      </w:rPr>
    </w:lvl>
    <w:lvl w:ilvl="7" w:tplc="33C6A7C4">
      <w:numFmt w:val="bullet"/>
      <w:lvlText w:val="•"/>
      <w:lvlJc w:val="left"/>
      <w:pPr>
        <w:ind w:left="6630" w:hanging="106"/>
      </w:pPr>
      <w:rPr>
        <w:rFonts w:hint="default"/>
        <w:lang w:val="pl-PL" w:eastAsia="en-US" w:bidi="ar-SA"/>
      </w:rPr>
    </w:lvl>
    <w:lvl w:ilvl="8" w:tplc="9642F320">
      <w:numFmt w:val="bullet"/>
      <w:lvlText w:val="•"/>
      <w:lvlJc w:val="left"/>
      <w:pPr>
        <w:ind w:left="7520" w:hanging="106"/>
      </w:pPr>
      <w:rPr>
        <w:rFonts w:hint="default"/>
        <w:lang w:val="pl-PL" w:eastAsia="en-US" w:bidi="ar-SA"/>
      </w:rPr>
    </w:lvl>
  </w:abstractNum>
  <w:abstractNum w:abstractNumId="19">
    <w:nsid w:val="773212BC"/>
    <w:multiLevelType w:val="hybridMultilevel"/>
    <w:tmpl w:val="EC24E33A"/>
    <w:lvl w:ilvl="0" w:tplc="DB3E8156">
      <w:numFmt w:val="bullet"/>
      <w:lvlText w:val="-"/>
      <w:lvlJc w:val="left"/>
      <w:pPr>
        <w:ind w:left="106" w:hanging="104"/>
      </w:pPr>
      <w:rPr>
        <w:rFonts w:ascii="Arial" w:eastAsia="Arial" w:hAnsi="Arial" w:cs="Arial" w:hint="default"/>
        <w:w w:val="99"/>
        <w:sz w:val="17"/>
        <w:szCs w:val="17"/>
        <w:lang w:val="pl-PL" w:eastAsia="en-US" w:bidi="ar-SA"/>
      </w:rPr>
    </w:lvl>
    <w:lvl w:ilvl="1" w:tplc="24145A6E">
      <w:numFmt w:val="bullet"/>
      <w:lvlText w:val="•"/>
      <w:lvlJc w:val="left"/>
      <w:pPr>
        <w:ind w:left="538" w:hanging="104"/>
      </w:pPr>
      <w:rPr>
        <w:rFonts w:hint="default"/>
        <w:lang w:val="pl-PL" w:eastAsia="en-US" w:bidi="ar-SA"/>
      </w:rPr>
    </w:lvl>
    <w:lvl w:ilvl="2" w:tplc="C422F5BE">
      <w:numFmt w:val="bullet"/>
      <w:lvlText w:val="•"/>
      <w:lvlJc w:val="left"/>
      <w:pPr>
        <w:ind w:left="977" w:hanging="104"/>
      </w:pPr>
      <w:rPr>
        <w:rFonts w:hint="default"/>
        <w:lang w:val="pl-PL" w:eastAsia="en-US" w:bidi="ar-SA"/>
      </w:rPr>
    </w:lvl>
    <w:lvl w:ilvl="3" w:tplc="0C9044C2">
      <w:numFmt w:val="bullet"/>
      <w:lvlText w:val="•"/>
      <w:lvlJc w:val="left"/>
      <w:pPr>
        <w:ind w:left="1416" w:hanging="104"/>
      </w:pPr>
      <w:rPr>
        <w:rFonts w:hint="default"/>
        <w:lang w:val="pl-PL" w:eastAsia="en-US" w:bidi="ar-SA"/>
      </w:rPr>
    </w:lvl>
    <w:lvl w:ilvl="4" w:tplc="1F6613C2">
      <w:numFmt w:val="bullet"/>
      <w:lvlText w:val="•"/>
      <w:lvlJc w:val="left"/>
      <w:pPr>
        <w:ind w:left="1855" w:hanging="104"/>
      </w:pPr>
      <w:rPr>
        <w:rFonts w:hint="default"/>
        <w:lang w:val="pl-PL" w:eastAsia="en-US" w:bidi="ar-SA"/>
      </w:rPr>
    </w:lvl>
    <w:lvl w:ilvl="5" w:tplc="60C03AA4">
      <w:numFmt w:val="bullet"/>
      <w:lvlText w:val="•"/>
      <w:lvlJc w:val="left"/>
      <w:pPr>
        <w:ind w:left="2294" w:hanging="104"/>
      </w:pPr>
      <w:rPr>
        <w:rFonts w:hint="default"/>
        <w:lang w:val="pl-PL" w:eastAsia="en-US" w:bidi="ar-SA"/>
      </w:rPr>
    </w:lvl>
    <w:lvl w:ilvl="6" w:tplc="FD80DB94">
      <w:numFmt w:val="bullet"/>
      <w:lvlText w:val="•"/>
      <w:lvlJc w:val="left"/>
      <w:pPr>
        <w:ind w:left="2733" w:hanging="104"/>
      </w:pPr>
      <w:rPr>
        <w:rFonts w:hint="default"/>
        <w:lang w:val="pl-PL" w:eastAsia="en-US" w:bidi="ar-SA"/>
      </w:rPr>
    </w:lvl>
    <w:lvl w:ilvl="7" w:tplc="7610E53A">
      <w:numFmt w:val="bullet"/>
      <w:lvlText w:val="•"/>
      <w:lvlJc w:val="left"/>
      <w:pPr>
        <w:ind w:left="3172" w:hanging="104"/>
      </w:pPr>
      <w:rPr>
        <w:rFonts w:hint="default"/>
        <w:lang w:val="pl-PL" w:eastAsia="en-US" w:bidi="ar-SA"/>
      </w:rPr>
    </w:lvl>
    <w:lvl w:ilvl="8" w:tplc="7CA43BCA">
      <w:numFmt w:val="bullet"/>
      <w:lvlText w:val="•"/>
      <w:lvlJc w:val="left"/>
      <w:pPr>
        <w:ind w:left="3611" w:hanging="104"/>
      </w:pPr>
      <w:rPr>
        <w:rFonts w:hint="default"/>
        <w:lang w:val="pl-PL" w:eastAsia="en-US" w:bidi="ar-SA"/>
      </w:rPr>
    </w:lvl>
  </w:abstractNum>
  <w:abstractNum w:abstractNumId="20">
    <w:nsid w:val="780768DA"/>
    <w:multiLevelType w:val="hybridMultilevel"/>
    <w:tmpl w:val="8B3265EA"/>
    <w:lvl w:ilvl="0" w:tplc="4E04598A">
      <w:numFmt w:val="bullet"/>
      <w:lvlText w:val="-"/>
      <w:lvlJc w:val="left"/>
      <w:pPr>
        <w:ind w:left="106" w:hanging="104"/>
      </w:pPr>
      <w:rPr>
        <w:rFonts w:ascii="Arial" w:eastAsia="Arial" w:hAnsi="Arial" w:cs="Arial" w:hint="default"/>
        <w:w w:val="99"/>
        <w:sz w:val="17"/>
        <w:szCs w:val="17"/>
        <w:lang w:val="pl-PL" w:eastAsia="en-US" w:bidi="ar-SA"/>
      </w:rPr>
    </w:lvl>
    <w:lvl w:ilvl="1" w:tplc="915E57CA">
      <w:numFmt w:val="bullet"/>
      <w:lvlText w:val="•"/>
      <w:lvlJc w:val="left"/>
      <w:pPr>
        <w:ind w:left="538" w:hanging="104"/>
      </w:pPr>
      <w:rPr>
        <w:rFonts w:hint="default"/>
        <w:lang w:val="pl-PL" w:eastAsia="en-US" w:bidi="ar-SA"/>
      </w:rPr>
    </w:lvl>
    <w:lvl w:ilvl="2" w:tplc="65BAFB48">
      <w:numFmt w:val="bullet"/>
      <w:lvlText w:val="•"/>
      <w:lvlJc w:val="left"/>
      <w:pPr>
        <w:ind w:left="977" w:hanging="104"/>
      </w:pPr>
      <w:rPr>
        <w:rFonts w:hint="default"/>
        <w:lang w:val="pl-PL" w:eastAsia="en-US" w:bidi="ar-SA"/>
      </w:rPr>
    </w:lvl>
    <w:lvl w:ilvl="3" w:tplc="C1B019F0">
      <w:numFmt w:val="bullet"/>
      <w:lvlText w:val="•"/>
      <w:lvlJc w:val="left"/>
      <w:pPr>
        <w:ind w:left="1416" w:hanging="104"/>
      </w:pPr>
      <w:rPr>
        <w:rFonts w:hint="default"/>
        <w:lang w:val="pl-PL" w:eastAsia="en-US" w:bidi="ar-SA"/>
      </w:rPr>
    </w:lvl>
    <w:lvl w:ilvl="4" w:tplc="8C8EC1DA">
      <w:numFmt w:val="bullet"/>
      <w:lvlText w:val="•"/>
      <w:lvlJc w:val="left"/>
      <w:pPr>
        <w:ind w:left="1855" w:hanging="104"/>
      </w:pPr>
      <w:rPr>
        <w:rFonts w:hint="default"/>
        <w:lang w:val="pl-PL" w:eastAsia="en-US" w:bidi="ar-SA"/>
      </w:rPr>
    </w:lvl>
    <w:lvl w:ilvl="5" w:tplc="5162B64A">
      <w:numFmt w:val="bullet"/>
      <w:lvlText w:val="•"/>
      <w:lvlJc w:val="left"/>
      <w:pPr>
        <w:ind w:left="2294" w:hanging="104"/>
      </w:pPr>
      <w:rPr>
        <w:rFonts w:hint="default"/>
        <w:lang w:val="pl-PL" w:eastAsia="en-US" w:bidi="ar-SA"/>
      </w:rPr>
    </w:lvl>
    <w:lvl w:ilvl="6" w:tplc="CDBE7EBA">
      <w:numFmt w:val="bullet"/>
      <w:lvlText w:val="•"/>
      <w:lvlJc w:val="left"/>
      <w:pPr>
        <w:ind w:left="2733" w:hanging="104"/>
      </w:pPr>
      <w:rPr>
        <w:rFonts w:hint="default"/>
        <w:lang w:val="pl-PL" w:eastAsia="en-US" w:bidi="ar-SA"/>
      </w:rPr>
    </w:lvl>
    <w:lvl w:ilvl="7" w:tplc="27126104">
      <w:numFmt w:val="bullet"/>
      <w:lvlText w:val="•"/>
      <w:lvlJc w:val="left"/>
      <w:pPr>
        <w:ind w:left="3172" w:hanging="104"/>
      </w:pPr>
      <w:rPr>
        <w:rFonts w:hint="default"/>
        <w:lang w:val="pl-PL" w:eastAsia="en-US" w:bidi="ar-SA"/>
      </w:rPr>
    </w:lvl>
    <w:lvl w:ilvl="8" w:tplc="3FAE6268">
      <w:numFmt w:val="bullet"/>
      <w:lvlText w:val="•"/>
      <w:lvlJc w:val="left"/>
      <w:pPr>
        <w:ind w:left="3611" w:hanging="104"/>
      </w:pPr>
      <w:rPr>
        <w:rFonts w:hint="default"/>
        <w:lang w:val="pl-PL" w:eastAsia="en-US" w:bidi="ar-SA"/>
      </w:rPr>
    </w:lvl>
  </w:abstractNum>
  <w:abstractNum w:abstractNumId="21">
    <w:nsid w:val="78906EFC"/>
    <w:multiLevelType w:val="hybridMultilevel"/>
    <w:tmpl w:val="2432F4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9226512"/>
    <w:multiLevelType w:val="hybridMultilevel"/>
    <w:tmpl w:val="53566610"/>
    <w:lvl w:ilvl="0" w:tplc="08E23570">
      <w:start w:val="1"/>
      <w:numFmt w:val="decimal"/>
      <w:lvlText w:val="%1."/>
      <w:lvlJc w:val="left"/>
      <w:pPr>
        <w:ind w:left="312" w:hanging="189"/>
        <w:jc w:val="right"/>
      </w:pPr>
      <w:rPr>
        <w:rFonts w:ascii="Arial" w:eastAsia="Arial" w:hAnsi="Arial" w:cs="Arial" w:hint="default"/>
        <w:spacing w:val="-2"/>
        <w:w w:val="99"/>
        <w:sz w:val="17"/>
        <w:szCs w:val="17"/>
        <w:lang w:val="pl-PL" w:eastAsia="en-US" w:bidi="ar-SA"/>
      </w:rPr>
    </w:lvl>
    <w:lvl w:ilvl="1" w:tplc="6FD49C04">
      <w:numFmt w:val="bullet"/>
      <w:lvlText w:val="•"/>
      <w:lvlJc w:val="left"/>
      <w:pPr>
        <w:ind w:left="1218" w:hanging="189"/>
      </w:pPr>
      <w:rPr>
        <w:rFonts w:hint="default"/>
        <w:lang w:val="pl-PL" w:eastAsia="en-US" w:bidi="ar-SA"/>
      </w:rPr>
    </w:lvl>
    <w:lvl w:ilvl="2" w:tplc="C59A21D6">
      <w:numFmt w:val="bullet"/>
      <w:lvlText w:val="•"/>
      <w:lvlJc w:val="left"/>
      <w:pPr>
        <w:ind w:left="2116" w:hanging="189"/>
      </w:pPr>
      <w:rPr>
        <w:rFonts w:hint="default"/>
        <w:lang w:val="pl-PL" w:eastAsia="en-US" w:bidi="ar-SA"/>
      </w:rPr>
    </w:lvl>
    <w:lvl w:ilvl="3" w:tplc="9460B96C">
      <w:numFmt w:val="bullet"/>
      <w:lvlText w:val="•"/>
      <w:lvlJc w:val="left"/>
      <w:pPr>
        <w:ind w:left="3014" w:hanging="189"/>
      </w:pPr>
      <w:rPr>
        <w:rFonts w:hint="default"/>
        <w:lang w:val="pl-PL" w:eastAsia="en-US" w:bidi="ar-SA"/>
      </w:rPr>
    </w:lvl>
    <w:lvl w:ilvl="4" w:tplc="18FCD31C">
      <w:numFmt w:val="bullet"/>
      <w:lvlText w:val="•"/>
      <w:lvlJc w:val="left"/>
      <w:pPr>
        <w:ind w:left="3912" w:hanging="189"/>
      </w:pPr>
      <w:rPr>
        <w:rFonts w:hint="default"/>
        <w:lang w:val="pl-PL" w:eastAsia="en-US" w:bidi="ar-SA"/>
      </w:rPr>
    </w:lvl>
    <w:lvl w:ilvl="5" w:tplc="6F2A2C06">
      <w:numFmt w:val="bullet"/>
      <w:lvlText w:val="•"/>
      <w:lvlJc w:val="left"/>
      <w:pPr>
        <w:ind w:left="4810" w:hanging="189"/>
      </w:pPr>
      <w:rPr>
        <w:rFonts w:hint="default"/>
        <w:lang w:val="pl-PL" w:eastAsia="en-US" w:bidi="ar-SA"/>
      </w:rPr>
    </w:lvl>
    <w:lvl w:ilvl="6" w:tplc="66DA5516">
      <w:numFmt w:val="bullet"/>
      <w:lvlText w:val="•"/>
      <w:lvlJc w:val="left"/>
      <w:pPr>
        <w:ind w:left="5708" w:hanging="189"/>
      </w:pPr>
      <w:rPr>
        <w:rFonts w:hint="default"/>
        <w:lang w:val="pl-PL" w:eastAsia="en-US" w:bidi="ar-SA"/>
      </w:rPr>
    </w:lvl>
    <w:lvl w:ilvl="7" w:tplc="AEE40D0E">
      <w:numFmt w:val="bullet"/>
      <w:lvlText w:val="•"/>
      <w:lvlJc w:val="left"/>
      <w:pPr>
        <w:ind w:left="6606" w:hanging="189"/>
      </w:pPr>
      <w:rPr>
        <w:rFonts w:hint="default"/>
        <w:lang w:val="pl-PL" w:eastAsia="en-US" w:bidi="ar-SA"/>
      </w:rPr>
    </w:lvl>
    <w:lvl w:ilvl="8" w:tplc="0FC8DCA8">
      <w:numFmt w:val="bullet"/>
      <w:lvlText w:val="•"/>
      <w:lvlJc w:val="left"/>
      <w:pPr>
        <w:ind w:left="7504" w:hanging="189"/>
      </w:pPr>
      <w:rPr>
        <w:rFonts w:hint="default"/>
        <w:lang w:val="pl-PL" w:eastAsia="en-US" w:bidi="ar-SA"/>
      </w:rPr>
    </w:lvl>
  </w:abstractNum>
  <w:abstractNum w:abstractNumId="23">
    <w:nsid w:val="7C8E16CD"/>
    <w:multiLevelType w:val="hybridMultilevel"/>
    <w:tmpl w:val="B16E5D80"/>
    <w:lvl w:ilvl="0" w:tplc="4EAA5F0E">
      <w:numFmt w:val="bullet"/>
      <w:lvlText w:val="-"/>
      <w:lvlJc w:val="left"/>
      <w:pPr>
        <w:ind w:left="106" w:hanging="104"/>
      </w:pPr>
      <w:rPr>
        <w:rFonts w:ascii="Arial" w:eastAsia="Arial" w:hAnsi="Arial" w:cs="Arial" w:hint="default"/>
        <w:w w:val="99"/>
        <w:sz w:val="17"/>
        <w:szCs w:val="17"/>
        <w:lang w:val="pl-PL" w:eastAsia="en-US" w:bidi="ar-SA"/>
      </w:rPr>
    </w:lvl>
    <w:lvl w:ilvl="1" w:tplc="F4420D50">
      <w:numFmt w:val="bullet"/>
      <w:lvlText w:val="•"/>
      <w:lvlJc w:val="left"/>
      <w:pPr>
        <w:ind w:left="538" w:hanging="104"/>
      </w:pPr>
      <w:rPr>
        <w:rFonts w:hint="default"/>
        <w:lang w:val="pl-PL" w:eastAsia="en-US" w:bidi="ar-SA"/>
      </w:rPr>
    </w:lvl>
    <w:lvl w:ilvl="2" w:tplc="26D658E6">
      <w:numFmt w:val="bullet"/>
      <w:lvlText w:val="•"/>
      <w:lvlJc w:val="left"/>
      <w:pPr>
        <w:ind w:left="977" w:hanging="104"/>
      </w:pPr>
      <w:rPr>
        <w:rFonts w:hint="default"/>
        <w:lang w:val="pl-PL" w:eastAsia="en-US" w:bidi="ar-SA"/>
      </w:rPr>
    </w:lvl>
    <w:lvl w:ilvl="3" w:tplc="C2C69E62">
      <w:numFmt w:val="bullet"/>
      <w:lvlText w:val="•"/>
      <w:lvlJc w:val="left"/>
      <w:pPr>
        <w:ind w:left="1416" w:hanging="104"/>
      </w:pPr>
      <w:rPr>
        <w:rFonts w:hint="default"/>
        <w:lang w:val="pl-PL" w:eastAsia="en-US" w:bidi="ar-SA"/>
      </w:rPr>
    </w:lvl>
    <w:lvl w:ilvl="4" w:tplc="C5583A10">
      <w:numFmt w:val="bullet"/>
      <w:lvlText w:val="•"/>
      <w:lvlJc w:val="left"/>
      <w:pPr>
        <w:ind w:left="1855" w:hanging="104"/>
      </w:pPr>
      <w:rPr>
        <w:rFonts w:hint="default"/>
        <w:lang w:val="pl-PL" w:eastAsia="en-US" w:bidi="ar-SA"/>
      </w:rPr>
    </w:lvl>
    <w:lvl w:ilvl="5" w:tplc="C96E13D0">
      <w:numFmt w:val="bullet"/>
      <w:lvlText w:val="•"/>
      <w:lvlJc w:val="left"/>
      <w:pPr>
        <w:ind w:left="2294" w:hanging="104"/>
      </w:pPr>
      <w:rPr>
        <w:rFonts w:hint="default"/>
        <w:lang w:val="pl-PL" w:eastAsia="en-US" w:bidi="ar-SA"/>
      </w:rPr>
    </w:lvl>
    <w:lvl w:ilvl="6" w:tplc="61485D4C">
      <w:numFmt w:val="bullet"/>
      <w:lvlText w:val="•"/>
      <w:lvlJc w:val="left"/>
      <w:pPr>
        <w:ind w:left="2733" w:hanging="104"/>
      </w:pPr>
      <w:rPr>
        <w:rFonts w:hint="default"/>
        <w:lang w:val="pl-PL" w:eastAsia="en-US" w:bidi="ar-SA"/>
      </w:rPr>
    </w:lvl>
    <w:lvl w:ilvl="7" w:tplc="9E9C4FE6">
      <w:numFmt w:val="bullet"/>
      <w:lvlText w:val="•"/>
      <w:lvlJc w:val="left"/>
      <w:pPr>
        <w:ind w:left="3172" w:hanging="104"/>
      </w:pPr>
      <w:rPr>
        <w:rFonts w:hint="default"/>
        <w:lang w:val="pl-PL" w:eastAsia="en-US" w:bidi="ar-SA"/>
      </w:rPr>
    </w:lvl>
    <w:lvl w:ilvl="8" w:tplc="9D0201F8">
      <w:numFmt w:val="bullet"/>
      <w:lvlText w:val="•"/>
      <w:lvlJc w:val="left"/>
      <w:pPr>
        <w:ind w:left="3611" w:hanging="104"/>
      </w:pPr>
      <w:rPr>
        <w:rFonts w:hint="default"/>
        <w:lang w:val="pl-PL" w:eastAsia="en-US" w:bidi="ar-SA"/>
      </w:rPr>
    </w:lvl>
  </w:abstractNum>
  <w:num w:numId="1">
    <w:abstractNumId w:val="22"/>
  </w:num>
  <w:num w:numId="2">
    <w:abstractNumId w:val="13"/>
  </w:num>
  <w:num w:numId="3">
    <w:abstractNumId w:val="0"/>
  </w:num>
  <w:num w:numId="4">
    <w:abstractNumId w:val="23"/>
  </w:num>
  <w:num w:numId="5">
    <w:abstractNumId w:val="19"/>
  </w:num>
  <w:num w:numId="6">
    <w:abstractNumId w:val="3"/>
  </w:num>
  <w:num w:numId="7">
    <w:abstractNumId w:val="20"/>
  </w:num>
  <w:num w:numId="8">
    <w:abstractNumId w:val="11"/>
  </w:num>
  <w:num w:numId="9">
    <w:abstractNumId w:val="10"/>
  </w:num>
  <w:num w:numId="10">
    <w:abstractNumId w:val="1"/>
  </w:num>
  <w:num w:numId="11">
    <w:abstractNumId w:val="5"/>
  </w:num>
  <w:num w:numId="12">
    <w:abstractNumId w:val="15"/>
  </w:num>
  <w:num w:numId="13">
    <w:abstractNumId w:val="16"/>
  </w:num>
  <w:num w:numId="14">
    <w:abstractNumId w:val="2"/>
  </w:num>
  <w:num w:numId="15">
    <w:abstractNumId w:val="4"/>
  </w:num>
  <w:num w:numId="16">
    <w:abstractNumId w:val="17"/>
  </w:num>
  <w:num w:numId="17">
    <w:abstractNumId w:val="8"/>
  </w:num>
  <w:num w:numId="18">
    <w:abstractNumId w:val="18"/>
  </w:num>
  <w:num w:numId="19">
    <w:abstractNumId w:val="12"/>
  </w:num>
  <w:num w:numId="20">
    <w:abstractNumId w:val="9"/>
  </w:num>
  <w:num w:numId="21">
    <w:abstractNumId w:val="6"/>
  </w:num>
  <w:num w:numId="22">
    <w:abstractNumId w:val="7"/>
  </w:num>
  <w:num w:numId="23">
    <w:abstractNumId w:val="2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CC6"/>
    <w:rsid w:val="00175CDE"/>
    <w:rsid w:val="001955B5"/>
    <w:rsid w:val="00277913"/>
    <w:rsid w:val="002A45BA"/>
    <w:rsid w:val="00356532"/>
    <w:rsid w:val="00491FE1"/>
    <w:rsid w:val="005F02F7"/>
    <w:rsid w:val="00603DAB"/>
    <w:rsid w:val="00643511"/>
    <w:rsid w:val="006D0A08"/>
    <w:rsid w:val="00703963"/>
    <w:rsid w:val="00746B98"/>
    <w:rsid w:val="007A19CA"/>
    <w:rsid w:val="0087570B"/>
    <w:rsid w:val="009673F1"/>
    <w:rsid w:val="00A12F2B"/>
    <w:rsid w:val="00A52CC6"/>
    <w:rsid w:val="00B20401"/>
    <w:rsid w:val="00BC516E"/>
    <w:rsid w:val="00C11DD7"/>
    <w:rsid w:val="00C91056"/>
    <w:rsid w:val="00CA5F38"/>
    <w:rsid w:val="00CB529E"/>
    <w:rsid w:val="00D2446F"/>
    <w:rsid w:val="00E55D52"/>
    <w:rsid w:val="00E56A0C"/>
    <w:rsid w:val="00EA0247"/>
    <w:rsid w:val="00EE59BF"/>
    <w:rsid w:val="00EE6CCB"/>
    <w:rsid w:val="00F57C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spacing w:before="112"/>
      <w:ind w:left="762" w:hanging="640"/>
      <w:jc w:val="both"/>
      <w:outlineLvl w:val="0"/>
    </w:pPr>
    <w:rPr>
      <w:b/>
      <w:bCs/>
      <w:sz w:val="17"/>
      <w:szCs w:val="1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autoRedefine/>
    <w:uiPriority w:val="1"/>
    <w:qFormat/>
    <w:rsid w:val="001955B5"/>
    <w:pPr>
      <w:spacing w:before="120"/>
      <w:jc w:val="both"/>
    </w:pPr>
    <w:rPr>
      <w:sz w:val="20"/>
      <w:szCs w:val="17"/>
    </w:rPr>
  </w:style>
  <w:style w:type="paragraph" w:styleId="Akapitzlist">
    <w:name w:val="List Paragraph"/>
    <w:basedOn w:val="Normalny"/>
    <w:uiPriority w:val="1"/>
    <w:qFormat/>
    <w:pPr>
      <w:spacing w:before="56"/>
      <w:ind w:left="762" w:hanging="640"/>
    </w:pPr>
  </w:style>
  <w:style w:type="paragraph" w:customStyle="1" w:styleId="TableParagraph">
    <w:name w:val="Table Paragraph"/>
    <w:basedOn w:val="Normalny"/>
    <w:uiPriority w:val="1"/>
    <w:qFormat/>
  </w:style>
  <w:style w:type="paragraph" w:customStyle="1" w:styleId="TytuSST">
    <w:name w:val="Tytuł SST"/>
    <w:basedOn w:val="Normalny"/>
    <w:rsid w:val="00277913"/>
    <w:pPr>
      <w:widowControl/>
      <w:tabs>
        <w:tab w:val="left" w:pos="1701"/>
        <w:tab w:val="left" w:pos="2126"/>
      </w:tabs>
      <w:autoSpaceDE/>
      <w:autoSpaceDN/>
      <w:spacing w:before="60"/>
    </w:pPr>
    <w:rPr>
      <w:rFonts w:eastAsia="Times New Roman"/>
      <w:b/>
      <w:bCs/>
      <w:iCs/>
      <w:caps/>
      <w:szCs w:val="24"/>
      <w:lang w:eastAsia="pl-PL"/>
    </w:rPr>
  </w:style>
  <w:style w:type="paragraph" w:styleId="Nagwek">
    <w:name w:val="header"/>
    <w:aliases w:val="Nagłówek strony,Nagłówek strony nieparzystej, Znak,Nagłówek strony Znak Znak Znak Znak Znak Znak Znak Znak Znak Znak Znak Znak Znak Znak Znak"/>
    <w:basedOn w:val="Normalny"/>
    <w:link w:val="NagwekZnak"/>
    <w:unhideWhenUsed/>
    <w:rsid w:val="00277913"/>
    <w:pPr>
      <w:tabs>
        <w:tab w:val="center" w:pos="4536"/>
        <w:tab w:val="right" w:pos="9072"/>
      </w:tabs>
    </w:pPr>
  </w:style>
  <w:style w:type="character" w:customStyle="1" w:styleId="NagwekZnak">
    <w:name w:val="Nagłówek Znak"/>
    <w:aliases w:val="Nagłówek strony Znak,Nagłówek strony nieparzystej Znak, Znak Znak,Nagłówek strony Znak Znak Znak Znak Znak Znak Znak Znak Znak Znak Znak Znak Znak Znak Znak Znak"/>
    <w:basedOn w:val="Domylnaczcionkaakapitu"/>
    <w:link w:val="Nagwek"/>
    <w:rsid w:val="00277913"/>
    <w:rPr>
      <w:rFonts w:ascii="Arial" w:eastAsia="Arial" w:hAnsi="Arial" w:cs="Arial"/>
      <w:lang w:val="pl-PL"/>
    </w:rPr>
  </w:style>
  <w:style w:type="paragraph" w:styleId="Stopka">
    <w:name w:val="footer"/>
    <w:basedOn w:val="Normalny"/>
    <w:link w:val="StopkaZnak"/>
    <w:uiPriority w:val="99"/>
    <w:unhideWhenUsed/>
    <w:rsid w:val="00277913"/>
    <w:pPr>
      <w:tabs>
        <w:tab w:val="center" w:pos="4536"/>
        <w:tab w:val="right" w:pos="9072"/>
      </w:tabs>
    </w:pPr>
  </w:style>
  <w:style w:type="character" w:customStyle="1" w:styleId="StopkaZnak">
    <w:name w:val="Stopka Znak"/>
    <w:basedOn w:val="Domylnaczcionkaakapitu"/>
    <w:link w:val="Stopka"/>
    <w:uiPriority w:val="99"/>
    <w:rsid w:val="00277913"/>
    <w:rPr>
      <w:rFonts w:ascii="Arial" w:eastAsia="Arial" w:hAnsi="Arial" w:cs="Arial"/>
      <w:lang w:val="pl-PL"/>
    </w:rPr>
  </w:style>
  <w:style w:type="character" w:customStyle="1" w:styleId="TekstpodstawowyZnak">
    <w:name w:val="Tekst podstawowy Znak"/>
    <w:basedOn w:val="Domylnaczcionkaakapitu"/>
    <w:link w:val="Tekstpodstawowy"/>
    <w:uiPriority w:val="1"/>
    <w:rsid w:val="001955B5"/>
    <w:rPr>
      <w:rFonts w:ascii="Arial" w:eastAsia="Arial" w:hAnsi="Arial" w:cs="Arial"/>
      <w:sz w:val="20"/>
      <w:szCs w:val="17"/>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spacing w:before="112"/>
      <w:ind w:left="762" w:hanging="640"/>
      <w:jc w:val="both"/>
      <w:outlineLvl w:val="0"/>
    </w:pPr>
    <w:rPr>
      <w:b/>
      <w:bCs/>
      <w:sz w:val="17"/>
      <w:szCs w:val="1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autoRedefine/>
    <w:uiPriority w:val="1"/>
    <w:qFormat/>
    <w:rsid w:val="001955B5"/>
    <w:pPr>
      <w:spacing w:before="120"/>
      <w:jc w:val="both"/>
    </w:pPr>
    <w:rPr>
      <w:sz w:val="20"/>
      <w:szCs w:val="17"/>
    </w:rPr>
  </w:style>
  <w:style w:type="paragraph" w:styleId="Akapitzlist">
    <w:name w:val="List Paragraph"/>
    <w:basedOn w:val="Normalny"/>
    <w:uiPriority w:val="1"/>
    <w:qFormat/>
    <w:pPr>
      <w:spacing w:before="56"/>
      <w:ind w:left="762" w:hanging="640"/>
    </w:pPr>
  </w:style>
  <w:style w:type="paragraph" w:customStyle="1" w:styleId="TableParagraph">
    <w:name w:val="Table Paragraph"/>
    <w:basedOn w:val="Normalny"/>
    <w:uiPriority w:val="1"/>
    <w:qFormat/>
  </w:style>
  <w:style w:type="paragraph" w:customStyle="1" w:styleId="TytuSST">
    <w:name w:val="Tytuł SST"/>
    <w:basedOn w:val="Normalny"/>
    <w:rsid w:val="00277913"/>
    <w:pPr>
      <w:widowControl/>
      <w:tabs>
        <w:tab w:val="left" w:pos="1701"/>
        <w:tab w:val="left" w:pos="2126"/>
      </w:tabs>
      <w:autoSpaceDE/>
      <w:autoSpaceDN/>
      <w:spacing w:before="60"/>
    </w:pPr>
    <w:rPr>
      <w:rFonts w:eastAsia="Times New Roman"/>
      <w:b/>
      <w:bCs/>
      <w:iCs/>
      <w:caps/>
      <w:szCs w:val="24"/>
      <w:lang w:eastAsia="pl-PL"/>
    </w:rPr>
  </w:style>
  <w:style w:type="paragraph" w:styleId="Nagwek">
    <w:name w:val="header"/>
    <w:aliases w:val="Nagłówek strony,Nagłówek strony nieparzystej, Znak,Nagłówek strony Znak Znak Znak Znak Znak Znak Znak Znak Znak Znak Znak Znak Znak Znak Znak"/>
    <w:basedOn w:val="Normalny"/>
    <w:link w:val="NagwekZnak"/>
    <w:unhideWhenUsed/>
    <w:rsid w:val="00277913"/>
    <w:pPr>
      <w:tabs>
        <w:tab w:val="center" w:pos="4536"/>
        <w:tab w:val="right" w:pos="9072"/>
      </w:tabs>
    </w:pPr>
  </w:style>
  <w:style w:type="character" w:customStyle="1" w:styleId="NagwekZnak">
    <w:name w:val="Nagłówek Znak"/>
    <w:aliases w:val="Nagłówek strony Znak,Nagłówek strony nieparzystej Znak, Znak Znak,Nagłówek strony Znak Znak Znak Znak Znak Znak Znak Znak Znak Znak Znak Znak Znak Znak Znak Znak"/>
    <w:basedOn w:val="Domylnaczcionkaakapitu"/>
    <w:link w:val="Nagwek"/>
    <w:rsid w:val="00277913"/>
    <w:rPr>
      <w:rFonts w:ascii="Arial" w:eastAsia="Arial" w:hAnsi="Arial" w:cs="Arial"/>
      <w:lang w:val="pl-PL"/>
    </w:rPr>
  </w:style>
  <w:style w:type="paragraph" w:styleId="Stopka">
    <w:name w:val="footer"/>
    <w:basedOn w:val="Normalny"/>
    <w:link w:val="StopkaZnak"/>
    <w:uiPriority w:val="99"/>
    <w:unhideWhenUsed/>
    <w:rsid w:val="00277913"/>
    <w:pPr>
      <w:tabs>
        <w:tab w:val="center" w:pos="4536"/>
        <w:tab w:val="right" w:pos="9072"/>
      </w:tabs>
    </w:pPr>
  </w:style>
  <w:style w:type="character" w:customStyle="1" w:styleId="StopkaZnak">
    <w:name w:val="Stopka Znak"/>
    <w:basedOn w:val="Domylnaczcionkaakapitu"/>
    <w:link w:val="Stopka"/>
    <w:uiPriority w:val="99"/>
    <w:rsid w:val="00277913"/>
    <w:rPr>
      <w:rFonts w:ascii="Arial" w:eastAsia="Arial" w:hAnsi="Arial" w:cs="Arial"/>
      <w:lang w:val="pl-PL"/>
    </w:rPr>
  </w:style>
  <w:style w:type="character" w:customStyle="1" w:styleId="TekstpodstawowyZnak">
    <w:name w:val="Tekst podstawowy Znak"/>
    <w:basedOn w:val="Domylnaczcionkaakapitu"/>
    <w:link w:val="Tekstpodstawowy"/>
    <w:uiPriority w:val="1"/>
    <w:rsid w:val="001955B5"/>
    <w:rPr>
      <w:rFonts w:ascii="Arial" w:eastAsia="Arial" w:hAnsi="Arial" w:cs="Arial"/>
      <w:sz w:val="20"/>
      <w:szCs w:val="17"/>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64910">
      <w:bodyDiv w:val="1"/>
      <w:marLeft w:val="0"/>
      <w:marRight w:val="0"/>
      <w:marTop w:val="0"/>
      <w:marBottom w:val="0"/>
      <w:divBdr>
        <w:top w:val="none" w:sz="0" w:space="0" w:color="auto"/>
        <w:left w:val="none" w:sz="0" w:space="0" w:color="auto"/>
        <w:bottom w:val="none" w:sz="0" w:space="0" w:color="auto"/>
        <w:right w:val="none" w:sz="0" w:space="0" w:color="auto"/>
      </w:divBdr>
    </w:div>
    <w:div w:id="668216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FB8DD-C734-4CA5-BF81-CE4F5027A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12</Pages>
  <Words>6048</Words>
  <Characters>36292</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D.07.01.01</vt:lpstr>
    </vt:vector>
  </TitlesOfParts>
  <Company>MZUiM</Company>
  <LinksUpToDate>false</LinksUpToDate>
  <CharactersWithSpaces>42256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D.07.01.01</dc:title>
  <dc:subject>Ważenie pojazdów</dc:subject>
  <dc:creator>Brak</dc:creator>
  <cp:keywords>Brak</cp:keywords>
  <cp:lastModifiedBy>t.krecichwost</cp:lastModifiedBy>
  <cp:revision>15</cp:revision>
  <cp:lastPrinted>2022-01-13T06:56:00Z</cp:lastPrinted>
  <dcterms:created xsi:type="dcterms:W3CDTF">2021-12-03T13:38:00Z</dcterms:created>
  <dcterms:modified xsi:type="dcterms:W3CDTF">2022-01-14T13:39:00Z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2020-04-29T00:00:00Z</vt:filetime>
  </property>
  <property fmtid="{D5CDD505-2E9C-101B-9397-08002B2CF9AE}" pid="3" name="LastSaved">
    <vt:filetime>2021-12-03T00:00:00Z</vt:filetime>
  </property>
</Properties>
</file>